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add7925f54d1f324384518c51911cbaf458d22c"/>
    <w:p>
      <w:pPr>
        <w:pStyle w:val="Heading1"/>
      </w:pPr>
      <w:r>
        <w:t xml:space="preserve">Journal Shortlist for India Patient Safety Surveillance Manuscript Series</w:t>
      </w:r>
    </w:p>
    <w:bookmarkStart w:id="12" w:name="selected-targets"/>
    <w:p>
      <w:pPr>
        <w:pStyle w:val="Heading2"/>
      </w:pPr>
      <w:r>
        <w:t xml:space="preserve">Selected targets</w:t>
      </w:r>
    </w:p>
    <w:bookmarkStart w:id="9" w:name="bmc-health-services-research"/>
    <w:p>
      <w:pPr>
        <w:pStyle w:val="Heading3"/>
      </w:pPr>
      <w:r>
        <w:t xml:space="preserve">1. BMC Health Services Research</w:t>
      </w:r>
    </w:p>
    <w:p>
      <w:pPr>
        <w:pStyle w:val="Compact"/>
        <w:numPr>
          <w:ilvl w:val="0"/>
          <w:numId w:val="1001"/>
        </w:numPr>
      </w:pPr>
      <w:r>
        <w:t xml:space="preserve">Best fit: national surveillance framework and health-system architecture paper</w:t>
      </w:r>
    </w:p>
    <w:p>
      <w:pPr>
        <w:pStyle w:val="Compact"/>
        <w:numPr>
          <w:ilvl w:val="0"/>
          <w:numId w:val="1001"/>
        </w:numPr>
      </w:pPr>
      <w:r>
        <w:t xml:space="preserve">Why: strong alignment with health-systems design, implementation, quality, governance, and national service-delivery research</w:t>
      </w:r>
    </w:p>
    <w:p>
      <w:pPr>
        <w:pStyle w:val="Compact"/>
        <w:numPr>
          <w:ilvl w:val="0"/>
          <w:numId w:val="1001"/>
        </w:numPr>
      </w:pPr>
      <w:r>
        <w:t xml:space="preserve">Official sources:</w:t>
      </w:r>
    </w:p>
    <w:p>
      <w:pPr>
        <w:pStyle w:val="Compact"/>
        <w:numPr>
          <w:ilvl w:val="1"/>
          <w:numId w:val="1002"/>
        </w:numPr>
      </w:pPr>
      <w:r>
        <w:t xml:space="preserve">https://bmchealthservres.biomedcentral.com/submission-guidelines/preparing-your-manuscript</w:t>
      </w:r>
    </w:p>
    <w:p>
      <w:pPr>
        <w:pStyle w:val="Compact"/>
        <w:numPr>
          <w:ilvl w:val="1"/>
          <w:numId w:val="1002"/>
        </w:numPr>
      </w:pPr>
      <w:r>
        <w:t xml:space="preserve">https://www.biomedcentral.com/getpublished/article-processing-charges/biomedcentral-prices</w:t>
      </w:r>
    </w:p>
    <w:bookmarkEnd w:id="9"/>
    <w:bookmarkStart w:id="10" w:name="frontiers-in-health-services"/>
    <w:p>
      <w:pPr>
        <w:pStyle w:val="Heading3"/>
      </w:pPr>
      <w:r>
        <w:t xml:space="preserve">2. Frontiers in Health Services</w:t>
      </w:r>
    </w:p>
    <w:p>
      <w:pPr>
        <w:pStyle w:val="Compact"/>
        <w:numPr>
          <w:ilvl w:val="0"/>
          <w:numId w:val="1003"/>
        </w:numPr>
      </w:pPr>
      <w:r>
        <w:t xml:space="preserve">Best fit: technical architecture and implementation strategy paper</w:t>
      </w:r>
    </w:p>
    <w:p>
      <w:pPr>
        <w:pStyle w:val="Compact"/>
        <w:numPr>
          <w:ilvl w:val="0"/>
          <w:numId w:val="1003"/>
        </w:numPr>
      </w:pPr>
      <w:r>
        <w:t xml:space="preserve">Why: suitable for implementation, service design, health-system innovation, and operations-focused digital infrastructure</w:t>
      </w:r>
    </w:p>
    <w:p>
      <w:pPr>
        <w:pStyle w:val="Compact"/>
        <w:numPr>
          <w:ilvl w:val="0"/>
          <w:numId w:val="1003"/>
        </w:numPr>
      </w:pPr>
      <w:r>
        <w:t xml:space="preserve">Official sources:</w:t>
      </w:r>
    </w:p>
    <w:p>
      <w:pPr>
        <w:pStyle w:val="Compact"/>
        <w:numPr>
          <w:ilvl w:val="1"/>
          <w:numId w:val="1004"/>
        </w:numPr>
      </w:pPr>
      <w:r>
        <w:t xml:space="preserve">https://www.frontiersin.org/journals/health-services#for-authors</w:t>
      </w:r>
    </w:p>
    <w:p>
      <w:pPr>
        <w:pStyle w:val="Compact"/>
        <w:numPr>
          <w:ilvl w:val="1"/>
          <w:numId w:val="1004"/>
        </w:numPr>
      </w:pPr>
      <w:r>
        <w:t xml:space="preserve">https://www.frontiersin.org/guidelines</w:t>
      </w:r>
    </w:p>
    <w:p>
      <w:pPr>
        <w:pStyle w:val="Compact"/>
        <w:numPr>
          <w:ilvl w:val="1"/>
          <w:numId w:val="1004"/>
        </w:numPr>
      </w:pPr>
      <w:r>
        <w:t xml:space="preserve">https://www.frontiersin.org/about/publishing-fees</w:t>
      </w:r>
    </w:p>
    <w:bookmarkEnd w:id="10"/>
    <w:bookmarkStart w:id="11" w:name="bmj-open"/>
    <w:p>
      <w:pPr>
        <w:pStyle w:val="Heading3"/>
      </w:pPr>
      <w:r>
        <w:t xml:space="preserve">3. BMJ Open</w:t>
      </w:r>
    </w:p>
    <w:p>
      <w:pPr>
        <w:pStyle w:val="Compact"/>
        <w:numPr>
          <w:ilvl w:val="0"/>
          <w:numId w:val="1005"/>
        </w:numPr>
      </w:pPr>
      <w:r>
        <w:t xml:space="preserve">Best fit: systematic review and meta-analysis protocol</w:t>
      </w:r>
    </w:p>
    <w:p>
      <w:pPr>
        <w:pStyle w:val="Compact"/>
        <w:numPr>
          <w:ilvl w:val="0"/>
          <w:numId w:val="1005"/>
        </w:numPr>
      </w:pPr>
      <w:r>
        <w:t xml:space="preserve">Why: established protocol pathway, broad health-services readership, and compatibility with surveillance-focused evidence synthesis planning</w:t>
      </w:r>
    </w:p>
    <w:p>
      <w:pPr>
        <w:pStyle w:val="Compact"/>
        <w:numPr>
          <w:ilvl w:val="0"/>
          <w:numId w:val="1005"/>
        </w:numPr>
      </w:pPr>
      <w:r>
        <w:t xml:space="preserve">Official sources:</w:t>
      </w:r>
    </w:p>
    <w:p>
      <w:pPr>
        <w:pStyle w:val="Compact"/>
        <w:numPr>
          <w:ilvl w:val="1"/>
          <w:numId w:val="1006"/>
        </w:numPr>
      </w:pPr>
      <w:r>
        <w:t xml:space="preserve">https://bmjopen.bmj.com/pages/authors/</w:t>
      </w:r>
    </w:p>
    <w:p>
      <w:pPr>
        <w:pStyle w:val="Compact"/>
        <w:numPr>
          <w:ilvl w:val="1"/>
          <w:numId w:val="1006"/>
        </w:numPr>
      </w:pPr>
      <w:r>
        <w:t xml:space="preserve">https://authors.bmj.com/before-you-submit/article-processing-charges/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2026-03-07T18:48:10Z</dcterms:created>
  <dcterms:modified xsi:type="dcterms:W3CDTF">2026-03-07T18:48:10Z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