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jmr-summary-table-package"/>
    <w:p>
      <w:pPr>
        <w:pStyle w:val="Heading1"/>
      </w:pPr>
      <w:r>
        <w:t xml:space="preserve">IJMR summary table package</w:t>
      </w:r>
    </w:p>
    <w:bookmarkStart w:id="9" w:name="X78a4ce57c67c3b6305a122d6b19ad1b73d2688d"/>
    <w:p>
      <w:pPr>
        <w:pStyle w:val="Heading2"/>
      </w:pPr>
      <w:r>
        <w:t xml:space="preserve">Table 1. Core design requirements for a federated patient safety surveillance system in India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 layer</w:t>
            </w:r>
          </w:p>
        </w:tc>
        <w:tc>
          <w:tcPr/>
          <w:p>
            <w:pPr>
              <w:pStyle w:val="Compact"/>
            </w:pPr>
            <w:r>
              <w:t xml:space="preserve">Minimum national requirement</w:t>
            </w:r>
          </w:p>
        </w:tc>
        <w:tc>
          <w:tcPr/>
          <w:p>
            <w:pPr>
              <w:pStyle w:val="Compact"/>
            </w:pPr>
            <w:r>
              <w:t xml:space="preserve">Operational rationale</w:t>
            </w:r>
          </w:p>
        </w:tc>
        <w:tc>
          <w:tcPr/>
          <w:p>
            <w:pPr>
              <w:pStyle w:val="Compact"/>
            </w:pPr>
            <w:r>
              <w:t xml:space="preserve">Typical data or workflow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and reporting</w:t>
            </w:r>
          </w:p>
        </w:tc>
        <w:tc>
          <w:tcPr/>
          <w:p>
            <w:pPr>
              <w:pStyle w:val="Compact"/>
            </w:pPr>
            <w:r>
              <w:t xml:space="preserve">Separate daily burden surveillance from event-level case reporting</w:t>
            </w:r>
          </w:p>
        </w:tc>
        <w:tc>
          <w:tcPr/>
          <w:p>
            <w:pPr>
              <w:pStyle w:val="Compact"/>
            </w:pPr>
            <w:r>
              <w:t xml:space="preserve">Prevents overload of routine forms and preserves deeper investigation pathways</w:t>
            </w:r>
          </w:p>
        </w:tc>
        <w:tc>
          <w:tcPr/>
          <w:p>
            <w:pPr>
              <w:pStyle w:val="Compact"/>
            </w:pPr>
            <w:r>
              <w:t xml:space="preserve">Daily denominators, event trigger forms, escalation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 and classification</w:t>
            </w:r>
          </w:p>
        </w:tc>
        <w:tc>
          <w:tcPr/>
          <w:p>
            <w:pPr>
              <w:pStyle w:val="Compact"/>
            </w:pPr>
            <w:r>
              <w:t xml:space="preserve">Use a canonical safety taxonomy across facilities and states</w:t>
            </w:r>
          </w:p>
        </w:tc>
        <w:tc>
          <w:tcPr/>
          <w:p>
            <w:pPr>
              <w:pStyle w:val="Compact"/>
            </w:pPr>
            <w:r>
              <w:t xml:space="preserve">Enables comparability and aggregation rather than narrative fragmentation</w:t>
            </w:r>
          </w:p>
        </w:tc>
        <w:tc>
          <w:tcPr/>
          <w:p>
            <w:pPr>
              <w:pStyle w:val="Compact"/>
            </w:pPr>
            <w:r>
              <w:t xml:space="preserve">Domain, deviation class, process stage, severity, contributing factors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Denominators and context</w:t>
            </w:r>
          </w:p>
        </w:tc>
        <w:tc>
          <w:tcPr/>
          <w:p>
            <w:pPr>
              <w:pStyle w:val="Compact"/>
            </w:pPr>
            <w:r>
              <w:t xml:space="preserve">Capture operational denominators and contextual strain indicators</w:t>
            </w:r>
          </w:p>
        </w:tc>
        <w:tc>
          <w:tcPr/>
          <w:p>
            <w:pPr>
              <w:pStyle w:val="Compact"/>
            </w:pPr>
            <w:r>
              <w:t xml:space="preserve">Makes interpretation possible and supports rate-based analytics</w:t>
            </w:r>
          </w:p>
        </w:tc>
        <w:tc>
          <w:tcPr/>
          <w:p>
            <w:pPr>
              <w:pStyle w:val="Compact"/>
            </w:pPr>
            <w:r>
              <w:t xml:space="preserve">Patient-days, admissions, procedures, staffing stress, system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workflow</w:t>
            </w:r>
          </w:p>
        </w:tc>
        <w:tc>
          <w:tcPr/>
          <w:p>
            <w:pPr>
              <w:pStyle w:val="Compact"/>
            </w:pPr>
            <w:r>
              <w:t xml:space="preserve">Define facility, state, and national review responsibilities</w:t>
            </w:r>
          </w:p>
        </w:tc>
        <w:tc>
          <w:tcPr/>
          <w:p>
            <w:pPr>
              <w:pStyle w:val="Compact"/>
            </w:pPr>
            <w:r>
              <w:t xml:space="preserve">Prevents unowned reports and strengthens learning loops</w:t>
            </w:r>
          </w:p>
        </w:tc>
        <w:tc>
          <w:tcPr/>
          <w:p>
            <w:pPr>
              <w:pStyle w:val="Compact"/>
            </w:pPr>
            <w:r>
              <w:t xml:space="preserve">Triage owner, review deadlines, closure quality, 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detection</w:t>
            </w:r>
          </w:p>
        </w:tc>
        <w:tc>
          <w:tcPr/>
          <w:p>
            <w:pPr>
              <w:pStyle w:val="Compact"/>
            </w:pPr>
            <w:r>
              <w:t xml:space="preserve">Support rule-based and pattern-based escalation</w:t>
            </w:r>
          </w:p>
        </w:tc>
        <w:tc>
          <w:tcPr/>
          <w:p>
            <w:pPr>
              <w:pStyle w:val="Compact"/>
            </w:pPr>
            <w:r>
              <w:t xml:space="preserve">Allows early recognition of clusters, recurrent failures, and severe events</w:t>
            </w:r>
          </w:p>
        </w:tc>
        <w:tc>
          <w:tcPr/>
          <w:p>
            <w:pPr>
              <w:pStyle w:val="Compact"/>
            </w:pPr>
            <w:r>
              <w:t xml:space="preserve">Threshold alerts, recurrence checks, high-risk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and audit</w:t>
            </w:r>
          </w:p>
        </w:tc>
        <w:tc>
          <w:tcPr/>
          <w:p>
            <w:pPr>
              <w:pStyle w:val="Compact"/>
            </w:pPr>
            <w:r>
              <w:t xml:space="preserve">Preserve traceability, accountability, and policy feedback</w:t>
            </w:r>
          </w:p>
        </w:tc>
        <w:tc>
          <w:tcPr/>
          <w:p>
            <w:pPr>
              <w:pStyle w:val="Compact"/>
            </w:pPr>
            <w:r>
              <w:t xml:space="preserve">Reporting without governance produces fatigue and weak prevention</w:t>
            </w:r>
          </w:p>
        </w:tc>
        <w:tc>
          <w:tcPr/>
          <w:p>
            <w:pPr>
              <w:pStyle w:val="Compact"/>
            </w:pPr>
            <w:r>
              <w:t xml:space="preserve">Audit trail, policy linkage, closure audit, state and national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Align with registries and digital exchange standards</w:t>
            </w:r>
          </w:p>
        </w:tc>
        <w:tc>
          <w:tcPr/>
          <w:p>
            <w:pPr>
              <w:pStyle w:val="Compact"/>
            </w:pPr>
            <w:r>
              <w:t xml:space="preserve">Avoids creation of another siloed reporting portal</w:t>
            </w:r>
          </w:p>
        </w:tc>
        <w:tc>
          <w:tcPr/>
          <w:p>
            <w:pPr>
              <w:pStyle w:val="Compact"/>
            </w:pPr>
            <w:r>
              <w:t xml:space="preserve">Facility identifiers, ABDM-aligned entities, API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assistance</w:t>
            </w:r>
          </w:p>
        </w:tc>
        <w:tc>
          <w:tcPr/>
          <w:p>
            <w:pPr>
              <w:pStyle w:val="Compact"/>
            </w:pPr>
            <w:r>
              <w:t xml:space="preserve">Restrict AI to bounded assistive functions under human oversight</w:t>
            </w:r>
          </w:p>
        </w:tc>
        <w:tc>
          <w:tcPr/>
          <w:p>
            <w:pPr>
              <w:pStyle w:val="Compact"/>
            </w:pPr>
            <w:r>
              <w:t xml:space="preserve">Improves structuring and prioritization without delegating accountability</w:t>
            </w:r>
          </w:p>
        </w:tc>
        <w:tc>
          <w:tcPr/>
          <w:p>
            <w:pPr>
              <w:pStyle w:val="Compact"/>
            </w:pPr>
            <w:r>
              <w:t xml:space="preserve">Classification suggestion, summarization, clustering, CAPA drafting</w:t>
            </w:r>
          </w:p>
        </w:tc>
      </w:tr>
    </w:tbl>
    <w:bookmarkEnd w:id="9"/>
    <w:bookmarkStart w:id="10" w:name="suggested-use"/>
    <w:p>
      <w:pPr>
        <w:pStyle w:val="Heading2"/>
      </w:pPr>
      <w:r>
        <w:t xml:space="preserve">Suggested use</w:t>
      </w:r>
    </w:p>
    <w:p>
      <w:pPr>
        <w:pStyle w:val="Compact"/>
        <w:numPr>
          <w:ilvl w:val="0"/>
          <w:numId w:val="1001"/>
        </w:numPr>
      </w:pPr>
      <w:r>
        <w:t xml:space="preserve">include Table 1 in the main manuscript submission as the central synthesis table</w:t>
      </w:r>
    </w:p>
    <w:p>
      <w:pPr>
        <w:pStyle w:val="Compact"/>
        <w:numPr>
          <w:ilvl w:val="0"/>
          <w:numId w:val="1001"/>
        </w:numPr>
      </w:pPr>
      <w:r>
        <w:t xml:space="preserve">keep the SVG figures as complementary architecture visuals, not substitutes for the summary table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2026-03-07T23:58:20Z</dcterms:created>
  <dcterms:modified xsi:type="dcterms:W3CDTF">2026-03-07T23:58:20Z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