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cover-letter"/>
    <w:p>
      <w:pPr>
        <w:pStyle w:val="Heading1"/>
      </w:pPr>
      <w:r>
        <w:t xml:space="preserve">Cover letter</w:t>
      </w:r>
    </w:p>
    <w:p>
      <w:pPr>
        <w:pStyle w:val="FirstParagraph"/>
      </w:pPr>
      <w:r>
        <w:t xml:space="preserve">To</w:t>
      </w:r>
      <w:r>
        <w:br/>
      </w:r>
      <w:r>
        <w:t xml:space="preserve">The Editor</w:t>
      </w:r>
      <w:r>
        <w:br/>
      </w:r>
      <w:r>
        <w:t xml:space="preserve">Indian Journal of Medical Research</w:t>
      </w:r>
    </w:p>
    <w:p>
      <w:pPr>
        <w:pStyle w:val="BodyText"/>
      </w:pPr>
      <w:r>
        <w:t xml:space="preserve">Subject: Submission of Special Article titled</w:t>
      </w:r>
      <w:r>
        <w:t xml:space="preserve"> </w:t>
      </w:r>
      <w:r>
        <w:rPr>
          <w:rStyle w:val="VerbatimChar"/>
        </w:rPr>
        <w:t xml:space="preserve">Patient safety reporting and learning systems: lessons from the literature and implications for India</w:t>
      </w:r>
    </w:p>
    <w:p>
      <w:pPr>
        <w:pStyle w:val="BodyText"/>
      </w:pPr>
      <w:r>
        <w:t xml:space="preserve">Dear Editor,</w:t>
      </w:r>
    </w:p>
    <w:p>
      <w:pPr>
        <w:pStyle w:val="BodyText"/>
      </w:pPr>
      <w:r>
        <w:t xml:space="preserve">Please consider our manuscript for publication as a Special Article in the Indian Journal of Medical Research. This manuscript synthesizes the international literature on incident reporting and patient safety learning systems and interprets its relevance for Indian health-system design, governance, and implementation.</w:t>
      </w:r>
    </w:p>
    <w:p>
      <w:pPr>
        <w:pStyle w:val="BodyText"/>
      </w:pPr>
      <w:r>
        <w:t xml:space="preserve">The manuscript is suitable for IJMR because it addresses patient safety, public health systems, health-services organization, and digital health implementation. It is intended as a review-based synthesis for policy, research, and programme design rather than as a report of completed multicentric intervention data.</w:t>
      </w:r>
    </w:p>
    <w:p>
      <w:pPr>
        <w:pStyle w:val="BodyText"/>
      </w:pPr>
      <w:r>
        <w:t xml:space="preserve">This manuscript is original, is not under consideration elsewhere, and has been prepared for IJMR submission requirements. No human participants were enrolled and no primary patient-level dataset was analyzed.</w:t>
      </w:r>
    </w:p>
    <w:p>
      <w:pPr>
        <w:pStyle w:val="BodyText"/>
      </w:pPr>
      <w:r>
        <w:t xml:space="preserve">Sincerely,</w:t>
      </w:r>
    </w:p>
    <w:p>
      <w:pPr>
        <w:pStyle w:val="BodyText"/>
      </w:pPr>
      <w:r>
        <w:t xml:space="preserve">Dr Siddalingaiah H S</w:t>
      </w:r>
      <w:r>
        <w:br/>
      </w:r>
      <w:r>
        <w:t xml:space="preserve">Professor, Community Medicine</w:t>
      </w:r>
      <w:r>
        <w:br/>
      </w:r>
      <w:r>
        <w:t xml:space="preserve">Shridevi Institute of Medical Sciences and Research Hospital, Tumkur, India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2026-03-07T23:58:20Z</dcterms:created>
  <dcterms:modified xsi:type="dcterms:W3CDTF">2026-03-07T23:58:20Z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