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2cc136f09525fc80742c0ac8dded61e8815efe9"/>
    <w:p>
      <w:pPr>
        <w:pStyle w:val="Heading1"/>
      </w:pPr>
      <w:r>
        <w:t xml:space="preserve">Patient safety reporting and learning systems: lessons from the literature and implications for India</w:t>
      </w:r>
    </w:p>
    <w:bookmarkStart w:id="9" w:name="abstract"/>
    <w:p>
      <w:pPr>
        <w:pStyle w:val="Heading2"/>
      </w:pPr>
      <w:r>
        <w:t xml:space="preserve">Abstract</w:t>
      </w:r>
    </w:p>
    <w:p>
      <w:pPr>
        <w:pStyle w:val="FirstParagraph"/>
      </w:pPr>
      <w:r>
        <w:t xml:space="preserve">Patient safety reporting systems are widely promoted as mechanisms for detecting harm, identifying system weaknesses, and enabling organizational learning, but their performance in practice has been uneven. Many systems collect reports without generating reliable feedback, comparable taxonomy, or sustained preventive action. We conducted a structured narrative review of literature and guidance on incident reporting, reporting-and-learning systems, implementation barriers, and governance requirements to clarify what makes such systems useful. Across settings, reporting systems function best when they are non-punitive, easy to use, taxonomically structured, connected to review workflows, linked to feedback, and embedded within broader organizational learning processes. They function poorly when reporting is burdensome, disconnected from action, weakly governed, or interpreted as a proxy for safety performance in isolation. For India, these findings imply that patient safety infrastructure should not be designed as a passive national portal. A stronger approach is a federated learning system in which facilities, state review structures, and national governance functions contribute distinct roles, with digital interoperability, denominator-aware analytics, and bounded AI assistance supporting learning without replacing human accountability.</w:t>
      </w:r>
    </w:p>
    <w:p>
      <w:pPr>
        <w:pStyle w:val="BodyText"/>
      </w:pPr>
      <w:r>
        <w:rPr>
          <w:b/>
          <w:bCs/>
        </w:rPr>
        <w:t xml:space="preserve">Keywords:</w:t>
      </w:r>
      <w:r>
        <w:t xml:space="preserve"> </w:t>
      </w:r>
      <w:r>
        <w:t xml:space="preserve">patient safety, incident reporting, learning systems, India, governance, digital health</w:t>
      </w:r>
    </w:p>
    <w:bookmarkEnd w:id="9"/>
    <w:bookmarkStart w:id="10" w:name="introduction"/>
    <w:p>
      <w:pPr>
        <w:pStyle w:val="Heading2"/>
      </w:pPr>
      <w:r>
        <w:t xml:space="preserve">Introduction</w:t>
      </w:r>
    </w:p>
    <w:p>
      <w:pPr>
        <w:pStyle w:val="FirstParagraph"/>
      </w:pPr>
      <w:r>
        <w:t xml:space="preserve">Reporting systems are among the most visible instruments in patient safety programmes, yet their actual contribution to safer care depends on what happens after reporting. A rise in reports may indicate openness, worsening safety, better detection, or all three at once. Conversely, low reporting may reflect under-recognition, fear, weak reporting culture, or genuinely low event burden. These ambiguities have led to recurring debates in the patient safety literature about what incident reporting systems can and cannot achieve [1-4].</w:t>
      </w:r>
    </w:p>
    <w:p>
      <w:pPr>
        <w:pStyle w:val="BodyText"/>
      </w:pPr>
      <w:r>
        <w:t xml:space="preserve">The most consistent finding is that reports alone do not produce safer systems. Learning requires classification, analysis, prioritization, feedback, accountability, and preventive redesign. The WHO Global Patient Safety Action Plan and broader learning-health-system literature both emphasize that reporting should be part of a larger cycle of learning and improvement rather than a terminal bureaucratic act [5,6].</w:t>
      </w:r>
    </w:p>
    <w:p>
      <w:pPr>
        <w:pStyle w:val="BodyText"/>
      </w:pPr>
      <w:r>
        <w:t xml:space="preserve">India presents a particularly important context for this issue. The health system spans public and private sectors, tertiary institutions and smaller facilities, digital and paper-based workflows, and diverse organizational cultures. A patient safety reporting and learning architecture for India therefore has to be realistic about implementation burden, heterogeneity, governance needs, and digital readiness.</w:t>
      </w:r>
    </w:p>
    <w:p>
      <w:pPr>
        <w:pStyle w:val="BodyText"/>
      </w:pPr>
      <w:r>
        <w:t xml:space="preserve">This review examines the literature on reporting and learning systems, identifies the features associated with useful organizational learning, and discusses how these lessons should shape the development of patient safety surveillance and learning infrastructure in India.</w:t>
      </w:r>
    </w:p>
    <w:bookmarkEnd w:id="10"/>
    <w:bookmarkStart w:id="11" w:name="methods"/>
    <w:p>
      <w:pPr>
        <w:pStyle w:val="Heading2"/>
      </w:pPr>
      <w:r>
        <w:t xml:space="preserve">Methods</w:t>
      </w:r>
    </w:p>
    <w:p>
      <w:pPr>
        <w:pStyle w:val="FirstParagraph"/>
      </w:pPr>
      <w:r>
        <w:t xml:space="preserve">This paper was developed as a structured narrative review and implementation synthesis. PubMed, WHO sources, accreditation and governance documents, and Indian digital health and health-systems sources were reviewed purposively to identify evidence and guidance relevant to patient safety reporting systems, incident learning systems, feedback loops, governance, and implementation barriers. Sources were selected for conceptual and practical relevance to surveillance and learning-system design rather than for meta-analysis. The synthesis focused on recurrent themes with implications for system architecture and programme design.</w:t>
      </w:r>
    </w:p>
    <w:bookmarkEnd w:id="11"/>
    <w:bookmarkStart w:id="12" w:name="what-reporting-systems-do-well"/>
    <w:p>
      <w:pPr>
        <w:pStyle w:val="Heading2"/>
      </w:pPr>
      <w:r>
        <w:t xml:space="preserve">What reporting systems do well</w:t>
      </w:r>
    </w:p>
    <w:p>
      <w:pPr>
        <w:pStyle w:val="FirstParagraph"/>
      </w:pPr>
      <w:r>
        <w:t xml:space="preserve">Incident reporting systems can capture signals that are difficult to observe through mortality statistics, utilization dashboards, or complaint systems alone. Near misses, process deviations, communication failures, workarounds, and local operational hazards are often first visible through staff reports. Reporting systems can also strengthen safety culture when staff observe that reporting is feasible, safe, and followed by visible action [2,3,7].</w:t>
      </w:r>
    </w:p>
    <w:p>
      <w:pPr>
        <w:pStyle w:val="BodyText"/>
      </w:pPr>
      <w:r>
        <w:t xml:space="preserve">They are particularly valuable for surfacing weak signals, understanding process failure modes, and supporting local reflection. In complex settings, reporting can make latent hazards visible before they produce catastrophic harm. Reporting systems also generate qualitative data that can contextualize quantitative indicators and help organizations interpret why harm occurs, not merely how often [4,8].</w:t>
      </w:r>
    </w:p>
    <w:bookmarkEnd w:id="12"/>
    <w:bookmarkStart w:id="13" w:name="X19d4a47bd1d1757a1ba05881c9f89ffcc70deed"/>
    <w:p>
      <w:pPr>
        <w:pStyle w:val="Heading2"/>
      </w:pPr>
      <w:r>
        <w:t xml:space="preserve">What reporting systems do poorly when badly designed</w:t>
      </w:r>
    </w:p>
    <w:p>
      <w:pPr>
        <w:pStyle w:val="FirstParagraph"/>
      </w:pPr>
      <w:r>
        <w:t xml:space="preserve">Reporting systems become ineffective when they are treated as ends in themselves. Common failures include taxonomic inconsistency, poor data quality, low feedback, punitive interpretation, and lack of analytical triage. Reviews have shown that staff frequently disengage when reporting yields no visible improvement or when the process is perceived as administratively extractive rather than safety-enhancing [2,3,9].</w:t>
      </w:r>
    </w:p>
    <w:p>
      <w:pPr>
        <w:pStyle w:val="BodyText"/>
      </w:pPr>
      <w:r>
        <w:t xml:space="preserve">Another common error is using report volume as a direct safety score. High reporting may reflect strong culture and detection capacity, while low reporting may represent concealment or indifference. Report counts therefore need denominator context, interpretive caution, and linkage to learning action rather than simplistic benchmarking [1,4,10].</w:t>
      </w:r>
    </w:p>
    <w:bookmarkEnd w:id="13"/>
    <w:bookmarkStart w:id="19" w:name="X08d14b2a2702695d2ae00c54eb310f391d7f180"/>
    <w:p>
      <w:pPr>
        <w:pStyle w:val="Heading2"/>
      </w:pPr>
      <w:r>
        <w:t xml:space="preserve">Conditions required for reporting to become learning</w:t>
      </w:r>
    </w:p>
    <w:p>
      <w:pPr>
        <w:pStyle w:val="FirstParagraph"/>
      </w:pPr>
      <w:r>
        <w:t xml:space="preserve">Across the literature, several recurrent conditions appear necessary.</w:t>
      </w:r>
    </w:p>
    <w:bookmarkStart w:id="14" w:name="non-punitive-culture"/>
    <w:p>
      <w:pPr>
        <w:pStyle w:val="Heading3"/>
      </w:pPr>
      <w:r>
        <w:t xml:space="preserve">Non-punitive culture</w:t>
      </w:r>
    </w:p>
    <w:p>
      <w:pPr>
        <w:pStyle w:val="FirstParagraph"/>
      </w:pPr>
      <w:r>
        <w:t xml:space="preserve">People do not report consistently when they expect blame, humiliation, or formal retaliation. Organizational justice, confidentiality protections, and credible non-punitive norms are foundational [2,7,9].</w:t>
      </w:r>
    </w:p>
    <w:bookmarkEnd w:id="14"/>
    <w:bookmarkStart w:id="15" w:name="structured-classification"/>
    <w:p>
      <w:pPr>
        <w:pStyle w:val="Heading3"/>
      </w:pPr>
      <w:r>
        <w:t xml:space="preserve">Structured classification</w:t>
      </w:r>
    </w:p>
    <w:p>
      <w:pPr>
        <w:pStyle w:val="FirstParagraph"/>
      </w:pPr>
      <w:r>
        <w:t xml:space="preserve">Free-text narratives alone cannot support aggregation, benchmarking, or pattern recognition. Effective systems require common taxonomies for domain, process stage, severity, contributory factors, and closure status [1,4,8].</w:t>
      </w:r>
    </w:p>
    <w:bookmarkEnd w:id="15"/>
    <w:bookmarkStart w:id="16" w:name="analytical-triage"/>
    <w:p>
      <w:pPr>
        <w:pStyle w:val="Heading3"/>
      </w:pPr>
      <w:r>
        <w:t xml:space="preserve">Analytical triage</w:t>
      </w:r>
    </w:p>
    <w:p>
      <w:pPr>
        <w:pStyle w:val="FirstParagraph"/>
      </w:pPr>
      <w:r>
        <w:t xml:space="preserve">Not all reports deserve the same response. Systems need triage pathways that distinguish routine burden monitoring from severe, recurrent, or investigable events [3,10].</w:t>
      </w:r>
    </w:p>
    <w:bookmarkEnd w:id="16"/>
    <w:bookmarkStart w:id="17" w:name="feedback-and-visible-action"/>
    <w:p>
      <w:pPr>
        <w:pStyle w:val="Heading3"/>
      </w:pPr>
      <w:r>
        <w:t xml:space="preserve">Feedback and visible action</w:t>
      </w:r>
    </w:p>
    <w:p>
      <w:pPr>
        <w:pStyle w:val="FirstParagraph"/>
      </w:pPr>
      <w:r>
        <w:t xml:space="preserve">The strongest determinant of sustained engagement is whether staff see that reports lead to review, correction, or learning. Feedback has to exist at local, managerial, and system levels [2,7].</w:t>
      </w:r>
    </w:p>
    <w:bookmarkEnd w:id="17"/>
    <w:bookmarkStart w:id="18" w:name="governance-and-closure-discipline"/>
    <w:p>
      <w:pPr>
        <w:pStyle w:val="Heading3"/>
      </w:pPr>
      <w:r>
        <w:t xml:space="preserve">Governance and closure discipline</w:t>
      </w:r>
    </w:p>
    <w:p>
      <w:pPr>
        <w:pStyle w:val="FirstParagraph"/>
      </w:pPr>
      <w:r>
        <w:t xml:space="preserve">Learning systems need ownership. Reports should not remain indefinitely open, and closure should include quality review rather than simple administrative disposal. CAPA processes, audit trails, and escalation rules matter [5,6].</w:t>
      </w:r>
    </w:p>
    <w:bookmarkEnd w:id="18"/>
    <w:bookmarkEnd w:id="19"/>
    <w:bookmarkStart w:id="20" w:name="implications-for-india"/>
    <w:p>
      <w:pPr>
        <w:pStyle w:val="Heading2"/>
      </w:pPr>
      <w:r>
        <w:t xml:space="preserve">Implications for India</w:t>
      </w:r>
    </w:p>
    <w:p>
      <w:pPr>
        <w:pStyle w:val="FirstParagraph"/>
      </w:pPr>
      <w:r>
        <w:t xml:space="preserve">These lessons imply that India should avoid designing patient safety reporting as a single undifferentiated national portal. A better approach is a federated model with layered responsibilities. Facilities should own reporting, initial analysis, and immediate containment. State structures should review trends, manage escalation, and coordinate cross-facility learning. National structures should support taxonomy, standards, benchmarking, and policy response.</w:t>
      </w:r>
    </w:p>
    <w:p>
      <w:pPr>
        <w:pStyle w:val="BodyText"/>
      </w:pPr>
      <w:r>
        <w:t xml:space="preserve">Digital architecture should support both manual and interoperable ingestion. ABDM-era infrastructure creates an opportunity to avoid a siloed standalone system, but interoperability should be added in service of workflows, not as a substitute for them. Similarly, AI may assist with structuring narratives, suggesting classifications, or identifying patterns, but should remain bounded by human review and governance [11-14].</w:t>
      </w:r>
    </w:p>
    <w:bookmarkEnd w:id="20"/>
    <w:bookmarkStart w:id="21" w:name="discussion"/>
    <w:p>
      <w:pPr>
        <w:pStyle w:val="Heading2"/>
      </w:pPr>
      <w:r>
        <w:t xml:space="preserve">Discussion</w:t>
      </w:r>
    </w:p>
    <w:p>
      <w:pPr>
        <w:pStyle w:val="FirstParagraph"/>
      </w:pPr>
      <w:r>
        <w:t xml:space="preserve">The literature does not support the belief that reporting systems are intrinsically effective. Their value depends on governance design, cultural safety, taxonomy, and learning loops. For India, the central implementation challenge is therefore not merely promoting more reports. It is constructing an operating model in which reports become actionable intelligence across facility, state, and national levels.</w:t>
      </w:r>
    </w:p>
    <w:p>
      <w:pPr>
        <w:pStyle w:val="BodyText"/>
      </w:pPr>
      <w:r>
        <w:t xml:space="preserve">This requires disciplined separation of daily burden surveillance from deeper case learning, denominator-aware interpretation, structured review pathways, and policy-linked governance. The emerging Indian digital health ecosystem makes such a system more feasible than before, but technical feasibility is not enough. A learning system has to be trusted, lightweight enough for routine use, and visibly consequential.</w:t>
      </w:r>
    </w:p>
    <w:bookmarkEnd w:id="21"/>
    <w:bookmarkStart w:id="22" w:name="conclusion"/>
    <w:p>
      <w:pPr>
        <w:pStyle w:val="Heading2"/>
      </w:pPr>
      <w:r>
        <w:t xml:space="preserve">Conclusion</w:t>
      </w:r>
    </w:p>
    <w:p>
      <w:pPr>
        <w:pStyle w:val="FirstParagraph"/>
      </w:pPr>
      <w:r>
        <w:t xml:space="preserve">Patient safety reporting systems are most useful when they are embedded in broader learning systems with clear taxonomy, triage, review, feedback, and governance. The Indian health system should therefore invest not in isolated reporting portals but in a federated reporting-and-learning architecture that supports local action, state interpretation, national governance, and bounded digital assistance. That is the path by which reporting can contribute to prevention rather than documentation alone.</w:t>
      </w:r>
    </w:p>
    <w:bookmarkEnd w:id="22"/>
    <w:bookmarkStart w:id="23" w:name="references"/>
    <w:p>
      <w:pPr>
        <w:pStyle w:val="Heading2"/>
      </w:pPr>
      <w:r>
        <w:t xml:space="preserve">References</w:t>
      </w:r>
    </w:p>
    <w:p>
      <w:pPr>
        <w:pStyle w:val="Compact"/>
        <w:numPr>
          <w:ilvl w:val="0"/>
          <w:numId w:val="1001"/>
        </w:numPr>
      </w:pPr>
      <w:r>
        <w:t xml:space="preserve">Stavropoulou C, Doherty C, Tosey P. How effective are incident-reporting systems for improving patient safety? A systematic literature review. Milbank Q. 2015;93:826-66.</w:t>
      </w:r>
    </w:p>
    <w:p>
      <w:pPr>
        <w:pStyle w:val="Compact"/>
        <w:numPr>
          <w:ilvl w:val="0"/>
          <w:numId w:val="1001"/>
        </w:numPr>
      </w:pPr>
      <w:r>
        <w:t xml:space="preserve">Mitchell I, Schuster A, Smith K, Pronovost P, Wu A. Patient safety incident reporting: a qualitative study of thoughts and perceptions of experts 15 years after To Err is Human. BMJ Qual Saf. 2016;25:92-9.</w:t>
      </w:r>
    </w:p>
    <w:p>
      <w:pPr>
        <w:pStyle w:val="Compact"/>
        <w:numPr>
          <w:ilvl w:val="0"/>
          <w:numId w:val="1001"/>
        </w:numPr>
      </w:pPr>
      <w:r>
        <w:t xml:space="preserve">Macrae C. The problem with incident reporting. BMJ Qual Saf. 2016;25:71-5.</w:t>
      </w:r>
    </w:p>
    <w:p>
      <w:pPr>
        <w:pStyle w:val="Compact"/>
        <w:numPr>
          <w:ilvl w:val="0"/>
          <w:numId w:val="1001"/>
        </w:numPr>
      </w:pPr>
      <w:r>
        <w:t xml:space="preserve">Brubacher JR, Hunte GS, Hamilton L, Taylor A, Friedman SM, Sheps SB, et al. Patient safety event reporting systems: a systematic review. J Patient Saf. 2022;18:e1237-48.</w:t>
      </w:r>
    </w:p>
    <w:p>
      <w:pPr>
        <w:pStyle w:val="Compact"/>
        <w:numPr>
          <w:ilvl w:val="0"/>
          <w:numId w:val="1001"/>
        </w:numPr>
      </w:pPr>
      <w:r>
        <w:t xml:space="preserve">World Health Organization. Global patient safety action plan 2021-2030. Geneva: WHO; 2021.</w:t>
      </w:r>
    </w:p>
    <w:p>
      <w:pPr>
        <w:pStyle w:val="Compact"/>
        <w:numPr>
          <w:ilvl w:val="0"/>
          <w:numId w:val="1001"/>
        </w:numPr>
      </w:pPr>
      <w:r>
        <w:t xml:space="preserve">World Health Organization. Global patient safety report 2024. Geneva: WHO; 2024.</w:t>
      </w:r>
    </w:p>
    <w:p>
      <w:pPr>
        <w:pStyle w:val="Compact"/>
        <w:numPr>
          <w:ilvl w:val="0"/>
          <w:numId w:val="1001"/>
        </w:numPr>
      </w:pPr>
      <w:r>
        <w:t xml:space="preserve">Benn J, Koutantji M, Wallace L, Spurgeon P, Rejman M, Healey A, et al. Feedback from incident reporting: information and action to improve patient safety. Qual Saf Health Care. 2009;18:11-21.</w:t>
      </w:r>
    </w:p>
    <w:p>
      <w:pPr>
        <w:pStyle w:val="Compact"/>
        <w:numPr>
          <w:ilvl w:val="0"/>
          <w:numId w:val="1001"/>
        </w:numPr>
      </w:pPr>
      <w:r>
        <w:t xml:space="preserve">Runciman W, Hibbert P, Thomson R, Van Der Schaaf T, Sherman H, Lewalle P. Towards an International Classification for Patient Safety: key concepts and terms. Int J Qual Health Care. 2009;21:18-26.</w:t>
      </w:r>
    </w:p>
    <w:p>
      <w:pPr>
        <w:pStyle w:val="Compact"/>
        <w:numPr>
          <w:ilvl w:val="0"/>
          <w:numId w:val="1001"/>
        </w:numPr>
      </w:pPr>
      <w:r>
        <w:t xml:space="preserve">Evans S, Berry JG, Smith BJ, Esterman A, Selim P, O’Shaughnessy J, et al. Attitudes and barriers to incident reporting: a collaborative hospital study. Qual Saf Health Care. 2006;15:39-43.</w:t>
      </w:r>
    </w:p>
    <w:p>
      <w:pPr>
        <w:pStyle w:val="Compact"/>
        <w:numPr>
          <w:ilvl w:val="0"/>
          <w:numId w:val="1001"/>
        </w:numPr>
      </w:pPr>
      <w:r>
        <w:t xml:space="preserve">Barach P, Small SD. Reporting and preventing medical mishaps: lessons from non-medical near miss reporting systems. BMJ. 2000;320:759-63.</w:t>
      </w:r>
    </w:p>
    <w:p>
      <w:pPr>
        <w:pStyle w:val="Compact"/>
        <w:numPr>
          <w:ilvl w:val="0"/>
          <w:numId w:val="1001"/>
        </w:numPr>
      </w:pPr>
      <w:r>
        <w:t xml:space="preserve">National Health Authority. Ayushman Bharat Digital Mission resources. New Delhi: NHA.</w:t>
      </w:r>
    </w:p>
    <w:p>
      <w:pPr>
        <w:pStyle w:val="Compact"/>
        <w:numPr>
          <w:ilvl w:val="0"/>
          <w:numId w:val="1001"/>
        </w:numPr>
      </w:pPr>
      <w:r>
        <w:t xml:space="preserve">National Health Mission. Integrated Health Information Platform. New Delhi: MoHFW.</w:t>
      </w:r>
    </w:p>
    <w:p>
      <w:pPr>
        <w:pStyle w:val="Compact"/>
        <w:numPr>
          <w:ilvl w:val="0"/>
          <w:numId w:val="1001"/>
        </w:numPr>
      </w:pPr>
      <w:r>
        <w:t xml:space="preserve">US Food and Drug Administration. Clinical decision support software guidance. Silver Spring: FDA; 2022.</w:t>
      </w:r>
    </w:p>
    <w:p>
      <w:pPr>
        <w:pStyle w:val="Compact"/>
        <w:numPr>
          <w:ilvl w:val="0"/>
          <w:numId w:val="1001"/>
        </w:numPr>
      </w:pPr>
      <w:r>
        <w:t xml:space="preserve">US Food and Drug Administration, Health Canada, Medicines and Healthcare products Regulatory Agency. Good machine learning practice for medical device development: guiding principles. 2021.</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2026-03-07T23:58:20Z</dcterms:created>
  <dcterms:modified xsi:type="dcterms:W3CDTF">2026-03-07T23:58:20Z</dcterms:modified>
</cp:coreProperties>
</file>

<file path=docProps/custom.xml><?xml version="1.0" encoding="utf-8"?>
<Properties xmlns="http://schemas.openxmlformats.org/officeDocument/2006/custom-properties" xmlns:vt="http://schemas.openxmlformats.org/officeDocument/2006/docPropsVTypes"/>
</file>