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2cc136f09525fc80742c0ac8dded61e8815efe9"/>
    <w:p>
      <w:pPr>
        <w:pStyle w:val="Heading1"/>
      </w:pPr>
      <w:r>
        <w:t xml:space="preserve">Patient safety reporting and learning systems: lessons from the literature and implications for India</w:t>
      </w:r>
    </w:p>
    <w:bookmarkStart w:id="9" w:name="abstract"/>
    <w:p>
      <w:pPr>
        <w:pStyle w:val="Heading2"/>
      </w:pPr>
      <w:r>
        <w:t xml:space="preserve">Abstract</w:t>
      </w:r>
    </w:p>
    <w:p>
      <w:pPr>
        <w:pStyle w:val="FirstParagraph"/>
      </w:pPr>
      <w:r>
        <w:t xml:space="preserve">Patient safety reporting systems are widely promoted as mechanisms for detecting harm, identifying system weaknesses, and enabling organizational learning, but their performance in practice has been uneven. Many systems collect reports without generating reliable feedback, comparable taxonomy, or sustained preventive action. We conducted a structured narrative review of literature and guidance on incident reporting, reporting-and-learning systems, implementation barriers, and governance requirements to clarify what makes such systems useful. Across settings, reporting systems function best when they are non-punitive, easy to use, taxonomically structured, connected to review workflows, linked to feedback, and embedded within broader organizational learning processes. They function poorly when reporting is burdensome, disconnected from action, weakly governed, or interpreted as a proxy for safety performance in isolation. For India, these findings imply that patient safety infrastructure should not be designed as a passive national portal. A stronger approach is a federated learning system in which facilities, state review structures, and national governance functions contribute distinct roles, with digital interoperability, denominator-aware analytics, and bounded AI assistance supporting learning without replacing human accountability.</w:t>
      </w:r>
    </w:p>
    <w:p>
      <w:pPr>
        <w:pStyle w:val="BodyText"/>
      </w:pPr>
      <w:r>
        <w:rPr>
          <w:b/>
          <w:bCs/>
        </w:rPr>
        <w:t xml:space="preserve">Keywords:</w:t>
      </w:r>
      <w:r>
        <w:t xml:space="preserve"> </w:t>
      </w:r>
      <w:r>
        <w:t xml:space="preserve">patient safety, incident reporting, learning systems, India, governance, digital health</w:t>
      </w:r>
    </w:p>
    <w:bookmarkEnd w:id="9"/>
    <w:bookmarkStart w:id="10" w:name="introduction"/>
    <w:p>
      <w:pPr>
        <w:pStyle w:val="Heading2"/>
      </w:pPr>
      <w:r>
        <w:t xml:space="preserve">Introduction</w:t>
      </w:r>
    </w:p>
    <w:p>
      <w:pPr>
        <w:pStyle w:val="FirstParagraph"/>
      </w:pPr>
      <w:r>
        <w:t xml:space="preserve">Reporting systems are among the most visible instruments in patient safety programmes, yet their actual contribution to safer care depends on what happens after reporting. A rise in reports may indicate openness, worsening safety, better detection, or all three at once. Conversely, low reporting may reflect under-recognition, fear, weak reporting culture, or genuinely low event burden. These ambiguities have led to recurring debates in the patient safety literature about what incident reporting systems can and cannot achieve [1-4].</w:t>
      </w:r>
    </w:p>
    <w:p>
      <w:pPr>
        <w:pStyle w:val="BodyText"/>
      </w:pPr>
      <w:r>
        <w:t xml:space="preserve">The most consistent finding is that reports alone do not produce safer systems. Learning requires classification, analysis, prioritization, feedback, accountability, and preventive redesign. The WHO Global Patient Safety Action Plan and broader learning-health-system literature both emphasize that reporting should be part of a larger cycle of learning and improvement rather than a terminal bureaucratic act [5,6].</w:t>
      </w:r>
    </w:p>
    <w:bookmarkEnd w:id="10"/>
    <w:bookmarkStart w:id="11" w:name="methods"/>
    <w:p>
      <w:pPr>
        <w:pStyle w:val="Heading2"/>
      </w:pPr>
      <w:r>
        <w:t xml:space="preserve">Methods</w:t>
      </w:r>
    </w:p>
    <w:p>
      <w:pPr>
        <w:pStyle w:val="FirstParagraph"/>
      </w:pPr>
      <w:r>
        <w:t xml:space="preserve">This paper was developed as a structured narrative review and implementation synthesis. PubMed, WHO sources, accreditation and governance documents, and Indian digital health and health-systems sources were reviewed purposively to identify evidence and guidance relevant to patient safety reporting systems, incident learning systems, feedback loops, governance, and implementation barriers. Sources were selected for conceptual and practical relevance to surveillance and learning-system design rather than for meta-analysis.</w:t>
      </w:r>
    </w:p>
    <w:bookmarkEnd w:id="11"/>
    <w:bookmarkStart w:id="12" w:name="main-text"/>
    <w:p>
      <w:pPr>
        <w:pStyle w:val="Heading2"/>
      </w:pPr>
      <w:r>
        <w:t xml:space="preserve">Main text</w:t>
      </w:r>
    </w:p>
    <w:p>
      <w:pPr>
        <w:pStyle w:val="FirstParagraph"/>
      </w:pPr>
      <w:r>
        <w:t xml:space="preserve">Author-identifying metadata removed for blinded review. The full non-blinded manuscript contains the complete text, references, and title-page metadata required for editorial submission.</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2026-03-07T23:58:20Z</dcterms:created>
  <dcterms:modified xsi:type="dcterms:W3CDTF">2026-03-07T23:58:20Z</dcterms:modified>
</cp:coreProperties>
</file>

<file path=docProps/custom.xml><?xml version="1.0" encoding="utf-8"?>
<Properties xmlns="http://schemas.openxmlformats.org/officeDocument/2006/custom-properties" xmlns:vt="http://schemas.openxmlformats.org/officeDocument/2006/docPropsVTypes"/>
</file>