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itle-page"/>
    <w:p>
      <w:pPr>
        <w:pStyle w:val="Heading1"/>
      </w:pPr>
      <w:r>
        <w:t xml:space="preserve">Title page</w:t>
      </w:r>
    </w:p>
    <w:bookmarkStart w:id="9" w:name="article-title"/>
    <w:p>
      <w:pPr>
        <w:pStyle w:val="Heading2"/>
      </w:pPr>
      <w:r>
        <w:t xml:space="preserve">Article title</w:t>
      </w:r>
    </w:p>
    <w:p>
      <w:pPr>
        <w:pStyle w:val="FirstParagraph"/>
      </w:pPr>
      <w:r>
        <w:t xml:space="preserve">Patient safety reporting and learning systems: lessons from the literature and implications for India</w:t>
      </w:r>
    </w:p>
    <w:bookmarkEnd w:id="9"/>
    <w:bookmarkStart w:id="10" w:name="article-category"/>
    <w:p>
      <w:pPr>
        <w:pStyle w:val="Heading2"/>
      </w:pPr>
      <w:r>
        <w:t xml:space="preserve">Article category</w:t>
      </w:r>
    </w:p>
    <w:p>
      <w:pPr>
        <w:pStyle w:val="FirstParagraph"/>
      </w:pPr>
      <w:r>
        <w:t xml:space="preserve">Special Article</w:t>
      </w:r>
    </w:p>
    <w:bookmarkEnd w:id="10"/>
    <w:bookmarkStart w:id="11" w:name="running-title"/>
    <w:p>
      <w:pPr>
        <w:pStyle w:val="Heading2"/>
      </w:pPr>
      <w:r>
        <w:t xml:space="preserve">Running title</w:t>
      </w:r>
    </w:p>
    <w:p>
      <w:pPr>
        <w:pStyle w:val="FirstParagraph"/>
      </w:pPr>
      <w:r>
        <w:t xml:space="preserve">Patient safety learning systems for India</w:t>
      </w:r>
    </w:p>
    <w:bookmarkEnd w:id="11"/>
    <w:bookmarkStart w:id="12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Phone: 8941087719</w:t>
      </w:r>
      <w:r>
        <w:br/>
      </w:r>
      <w:r>
        <w:t xml:space="preserve">ORCID: 0000-0002-4771-8285</w:t>
      </w:r>
    </w:p>
    <w:bookmarkEnd w:id="12"/>
    <w:bookmarkStart w:id="13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Phone: 8941087719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2026-03-07T23:58:20Z</dcterms:created>
  <dcterms:modified xsi:type="dcterms:W3CDTF">2026-03-07T23:58:20Z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