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805396950cd04071bb0422449432062fc3c541"/>
    <w:p>
      <w:pPr>
        <w:pStyle w:val="Heading1"/>
      </w:pPr>
      <w:r>
        <w:t xml:space="preserve">Manuscript 1: SentinelCare Systems Framework for Computable Patient Safety</w:t>
      </w:r>
    </w:p>
    <w:bookmarkStart w:id="9" w:name="proposed-title"/>
    <w:p>
      <w:pPr>
        <w:pStyle w:val="Heading2"/>
      </w:pPr>
      <w:r>
        <w:t xml:space="preserve">Proposed Title</w:t>
      </w:r>
    </w:p>
    <w:p>
      <w:pPr>
        <w:pStyle w:val="FirstParagraph"/>
      </w:pPr>
      <w:r>
        <w:t xml:space="preserve">SentinelCare: A Layered Systems Framework for Computable, Real-Time, Human-Governed Patient Safety</w:t>
      </w:r>
    </w:p>
    <w:bookmarkEnd w:id="9"/>
    <w:bookmarkStart w:id="14" w:name="abstract"/>
    <w:p>
      <w:pPr>
        <w:pStyle w:val="Heading2"/>
      </w:pPr>
      <w:r>
        <w:t xml:space="preserve">Abstract</w:t>
      </w:r>
    </w:p>
    <w:bookmarkStart w:id="10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Preventable harm is generated by failures distributed across people, process, communication, timing, and system design. Existing safety tools are frequently retrospective, siloed, and weakly connected to real-time intervention workflows.</w:t>
      </w:r>
    </w:p>
    <w:bookmarkEnd w:id="10"/>
    <w:bookmarkStart w:id="11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define a systems-level patient safety framework that operationalizes risk detection, escalation, closure, and learning as computable functions across care settings.</w:t>
      </w:r>
    </w:p>
    <w:bookmarkEnd w:id="11"/>
    <w:bookmarkStart w:id="12" w:name="framework"/>
    <w:p>
      <w:pPr>
        <w:pStyle w:val="Heading3"/>
      </w:pPr>
      <w:r>
        <w:t xml:space="preserve">Framework</w:t>
      </w:r>
    </w:p>
    <w:p>
      <w:pPr>
        <w:pStyle w:val="FirstParagraph"/>
      </w:pPr>
      <w:r>
        <w:t xml:space="preserve">SentinelCare is specified as an eight-layer platform: Data Fabric, Clinical Knowledge, Detection, Prediction, Intervention, Learning, Governance, and Experience. The framework uses an explicit clinical process chain (Intent -&gt; Action -&gt; Confirmation -&gt; Response -&gt; Follow-up -&gt; Closure) as the unit of safety analysis. Errors are formalized as omissions, contradictions, unsafe delays, or unresolved closure states.</w:t>
      </w:r>
    </w:p>
    <w:bookmarkEnd w:id="12"/>
    <w:bookmarkStart w:id="13" w:name="implications"/>
    <w:p>
      <w:pPr>
        <w:pStyle w:val="Heading3"/>
      </w:pPr>
      <w:r>
        <w:t xml:space="preserve">Implications</w:t>
      </w:r>
    </w:p>
    <w:p>
      <w:pPr>
        <w:pStyle w:val="FirstParagraph"/>
      </w:pPr>
      <w:r>
        <w:t xml:space="preserve">The framework reframes patient safety from incident counting to continuous process control. It provides a translational architecture for staged deployment with human-in-the-loop oversight, measurable operational metrics, and governance-ready auditability.</w:t>
      </w:r>
    </w:p>
    <w:bookmarkEnd w:id="13"/>
    <w:bookmarkEnd w:id="14"/>
    <w:bookmarkStart w:id="15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Patient safety remains constrained by fragmented information, delayed recognition of risk, and absence of closed-loop accountability in routine workflows. Existing systems often identify isolated events without integrating:</w:t>
      </w:r>
    </w:p>
    <w:p>
      <w:pPr>
        <w:pStyle w:val="Compact"/>
        <w:numPr>
          <w:ilvl w:val="0"/>
          <w:numId w:val="1001"/>
        </w:numPr>
      </w:pPr>
      <w:r>
        <w:t xml:space="preserve">cross-modal evidence,</w:t>
      </w:r>
    </w:p>
    <w:p>
      <w:pPr>
        <w:pStyle w:val="Compact"/>
        <w:numPr>
          <w:ilvl w:val="0"/>
          <w:numId w:val="1001"/>
        </w:numPr>
      </w:pPr>
      <w:r>
        <w:t xml:space="preserve">role-specific responsibility,</w:t>
      </w:r>
    </w:p>
    <w:p>
      <w:pPr>
        <w:pStyle w:val="Compact"/>
        <w:numPr>
          <w:ilvl w:val="0"/>
          <w:numId w:val="1001"/>
        </w:numPr>
      </w:pPr>
      <w:r>
        <w:t xml:space="preserve">escalation timing,</w:t>
      </w:r>
    </w:p>
    <w:p>
      <w:pPr>
        <w:pStyle w:val="Compact"/>
        <w:numPr>
          <w:ilvl w:val="0"/>
          <w:numId w:val="1001"/>
        </w:numPr>
      </w:pPr>
      <w:r>
        <w:t xml:space="preserve">closure verification,</w:t>
      </w:r>
    </w:p>
    <w:p>
      <w:pPr>
        <w:pStyle w:val="Compact"/>
        <w:numPr>
          <w:ilvl w:val="0"/>
          <w:numId w:val="1001"/>
        </w:numPr>
      </w:pPr>
      <w:r>
        <w:t xml:space="preserve">post-event learning.</w:t>
      </w:r>
    </w:p>
    <w:p>
      <w:pPr>
        <w:pStyle w:val="FirstParagraph"/>
      </w:pPr>
      <w:r>
        <w:t xml:space="preserve">The SentinelCare blueprint proposes a prospective safety layer that treats care as a dynamic process network rather than static documentation artifacts.</w:t>
      </w:r>
    </w:p>
    <w:bookmarkEnd w:id="15"/>
    <w:bookmarkStart w:id="16" w:name="conceptual-position"/>
    <w:p>
      <w:pPr>
        <w:pStyle w:val="Heading2"/>
      </w:pPr>
      <w:r>
        <w:t xml:space="preserve">2. Conceptual Position</w:t>
      </w:r>
    </w:p>
    <w:p>
      <w:pPr>
        <w:pStyle w:val="FirstParagraph"/>
      </w:pPr>
      <w:r>
        <w:t xml:space="preserve">SentinelCare is not framed as autonomous clinical authority. It is a safety-control infrastructure with three principles:</w:t>
      </w:r>
    </w:p>
    <w:p>
      <w:pPr>
        <w:pStyle w:val="Compact"/>
        <w:numPr>
          <w:ilvl w:val="0"/>
          <w:numId w:val="1002"/>
        </w:numPr>
      </w:pPr>
      <w:r>
        <w:t xml:space="preserve">human oversight at high-risk decision points,</w:t>
      </w:r>
    </w:p>
    <w:p>
      <w:pPr>
        <w:pStyle w:val="Compact"/>
        <w:numPr>
          <w:ilvl w:val="0"/>
          <w:numId w:val="1002"/>
        </w:numPr>
      </w:pPr>
      <w:r>
        <w:t xml:space="preserve">precision-oriented alerts over high-volume interruption,</w:t>
      </w:r>
    </w:p>
    <w:p>
      <w:pPr>
        <w:pStyle w:val="Compact"/>
        <w:numPr>
          <w:ilvl w:val="0"/>
          <w:numId w:val="1002"/>
        </w:numPr>
      </w:pPr>
      <w:r>
        <w:t xml:space="preserve">auditability and override capture as mandatory design elements.</w:t>
      </w:r>
    </w:p>
    <w:bookmarkEnd w:id="16"/>
    <w:bookmarkStart w:id="17" w:name="core-process-model"/>
    <w:p>
      <w:pPr>
        <w:pStyle w:val="Heading2"/>
      </w:pPr>
      <w:r>
        <w:t xml:space="preserve">3. Core Process Model</w:t>
      </w:r>
    </w:p>
    <w:p>
      <w:pPr>
        <w:pStyle w:val="FirstParagraph"/>
      </w:pPr>
      <w:r>
        <w:t xml:space="preserve">The framework encodes each clinical pathway as:</w:t>
      </w:r>
    </w:p>
    <w:p>
      <w:pPr>
        <w:pStyle w:val="BodyText"/>
      </w:pPr>
      <w:r>
        <w:t xml:space="preserve">Intent -&gt; Action -&gt; Confirmation -&gt; Response -&gt; Follow-up -&gt; Closure</w:t>
      </w:r>
    </w:p>
    <w:p>
      <w:pPr>
        <w:pStyle w:val="BodyText"/>
      </w:pPr>
      <w:r>
        <w:t xml:space="preserve">This chain is the analytic primitive. A safety event is declared when one or more states occur:</w:t>
      </w:r>
    </w:p>
    <w:p>
      <w:pPr>
        <w:pStyle w:val="Compact"/>
        <w:numPr>
          <w:ilvl w:val="0"/>
          <w:numId w:val="1003"/>
        </w:numPr>
      </w:pPr>
      <w:r>
        <w:t xml:space="preserve">missing expected action,</w:t>
      </w:r>
    </w:p>
    <w:p>
      <w:pPr>
        <w:pStyle w:val="Compact"/>
        <w:numPr>
          <w:ilvl w:val="0"/>
          <w:numId w:val="1003"/>
        </w:numPr>
      </w:pPr>
      <w:r>
        <w:t xml:space="preserve">contradictory evidence,</w:t>
      </w:r>
    </w:p>
    <w:p>
      <w:pPr>
        <w:pStyle w:val="Compact"/>
        <w:numPr>
          <w:ilvl w:val="0"/>
          <w:numId w:val="1003"/>
        </w:numPr>
      </w:pPr>
      <w:r>
        <w:t xml:space="preserve">harmful delay,</w:t>
      </w:r>
    </w:p>
    <w:p>
      <w:pPr>
        <w:pStyle w:val="Compact"/>
        <w:numPr>
          <w:ilvl w:val="0"/>
          <w:numId w:val="1003"/>
        </w:numPr>
      </w:pPr>
      <w:r>
        <w:t xml:space="preserve">unresolved ownership,</w:t>
      </w:r>
    </w:p>
    <w:p>
      <w:pPr>
        <w:pStyle w:val="Compact"/>
        <w:numPr>
          <w:ilvl w:val="0"/>
          <w:numId w:val="1003"/>
        </w:numPr>
      </w:pPr>
      <w:r>
        <w:t xml:space="preserve">closure failure.</w:t>
      </w:r>
    </w:p>
    <w:bookmarkEnd w:id="17"/>
    <w:bookmarkStart w:id="26" w:name="layered-architecture"/>
    <w:p>
      <w:pPr>
        <w:pStyle w:val="Heading2"/>
      </w:pPr>
      <w:r>
        <w:t xml:space="preserve">4. Layered Architecture</w:t>
      </w:r>
    </w:p>
    <w:bookmarkStart w:id="18" w:name="layer-1-data-fabric"/>
    <w:p>
      <w:pPr>
        <w:pStyle w:val="Heading3"/>
      </w:pPr>
      <w:r>
        <w:t xml:space="preserve">Layer 1: Data Fabric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4"/>
        </w:numPr>
      </w:pPr>
      <w:r>
        <w:t xml:space="preserve">source connectivity (HL7/FHIR/DICOM),</w:t>
      </w:r>
    </w:p>
    <w:p>
      <w:pPr>
        <w:pStyle w:val="Compact"/>
        <w:numPr>
          <w:ilvl w:val="0"/>
          <w:numId w:val="1004"/>
        </w:numPr>
      </w:pPr>
      <w:r>
        <w:t xml:space="preserve">normalization and identity/time resolution,</w:t>
      </w:r>
    </w:p>
    <w:p>
      <w:pPr>
        <w:pStyle w:val="Compact"/>
        <w:numPr>
          <w:ilvl w:val="0"/>
          <w:numId w:val="1004"/>
        </w:numPr>
      </w:pPr>
      <w:r>
        <w:t xml:space="preserve">event-quality harmonization.</w:t>
      </w:r>
    </w:p>
    <w:bookmarkEnd w:id="18"/>
    <w:bookmarkStart w:id="19" w:name="layer-2-clinical-knowledge"/>
    <w:p>
      <w:pPr>
        <w:pStyle w:val="Heading3"/>
      </w:pPr>
      <w:r>
        <w:t xml:space="preserve">Layer 2: Clinical Knowledge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5"/>
        </w:numPr>
      </w:pPr>
      <w:r>
        <w:t xml:space="preserve">codify SOP/guideline/formulary logic,</w:t>
      </w:r>
    </w:p>
    <w:p>
      <w:pPr>
        <w:pStyle w:val="Compact"/>
        <w:numPr>
          <w:ilvl w:val="0"/>
          <w:numId w:val="1005"/>
        </w:numPr>
      </w:pPr>
      <w:r>
        <w:t xml:space="preserve">encode escalation policies and checklist rules,</w:t>
      </w:r>
    </w:p>
    <w:p>
      <w:pPr>
        <w:pStyle w:val="Compact"/>
        <w:numPr>
          <w:ilvl w:val="0"/>
          <w:numId w:val="1005"/>
        </w:numPr>
      </w:pPr>
      <w:r>
        <w:t xml:space="preserve">maintain site-governed versioning.</w:t>
      </w:r>
    </w:p>
    <w:bookmarkEnd w:id="19"/>
    <w:bookmarkStart w:id="20" w:name="layer-3-detection"/>
    <w:p>
      <w:pPr>
        <w:pStyle w:val="Heading3"/>
      </w:pPr>
      <w:r>
        <w:t xml:space="preserve">Layer 3: Detection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deterministic rule execution,</w:t>
      </w:r>
    </w:p>
    <w:p>
      <w:pPr>
        <w:pStyle w:val="Compact"/>
        <w:numPr>
          <w:ilvl w:val="0"/>
          <w:numId w:val="1006"/>
        </w:numPr>
      </w:pPr>
      <w:r>
        <w:t xml:space="preserve">process deviation identification,</w:t>
      </w:r>
    </w:p>
    <w:p>
      <w:pPr>
        <w:pStyle w:val="Compact"/>
        <w:numPr>
          <w:ilvl w:val="0"/>
          <w:numId w:val="1006"/>
        </w:numPr>
      </w:pPr>
      <w:r>
        <w:t xml:space="preserve">contradiction detection and extraction across modalities.</w:t>
      </w:r>
    </w:p>
    <w:bookmarkEnd w:id="20"/>
    <w:bookmarkStart w:id="21" w:name="layer-4-prediction"/>
    <w:p>
      <w:pPr>
        <w:pStyle w:val="Heading3"/>
      </w:pPr>
      <w:r>
        <w:t xml:space="preserve">Layer 4: Prediction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7"/>
        </w:numPr>
      </w:pPr>
      <w:r>
        <w:t xml:space="preserve">anticipatory risk scoring (deterioration, ADE, follow-up risk),</w:t>
      </w:r>
    </w:p>
    <w:p>
      <w:pPr>
        <w:pStyle w:val="Compact"/>
        <w:numPr>
          <w:ilvl w:val="0"/>
          <w:numId w:val="1007"/>
        </w:numPr>
      </w:pPr>
      <w:r>
        <w:t xml:space="preserve">horizon-based forecasting for pre-harm intervention windows.</w:t>
      </w:r>
    </w:p>
    <w:bookmarkEnd w:id="21"/>
    <w:bookmarkStart w:id="22" w:name="layer-5-intervention"/>
    <w:p>
      <w:pPr>
        <w:pStyle w:val="Heading3"/>
      </w:pPr>
      <w:r>
        <w:t xml:space="preserve">Layer 5: Intervention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role-aware signaling (silent, nudge, interruptive),</w:t>
      </w:r>
    </w:p>
    <w:p>
      <w:pPr>
        <w:pStyle w:val="Compact"/>
        <w:numPr>
          <w:ilvl w:val="0"/>
          <w:numId w:val="1008"/>
        </w:numPr>
      </w:pPr>
      <w:r>
        <w:t xml:space="preserve">escalation workflows,</w:t>
      </w:r>
    </w:p>
    <w:p>
      <w:pPr>
        <w:pStyle w:val="Compact"/>
        <w:numPr>
          <w:ilvl w:val="0"/>
          <w:numId w:val="1008"/>
        </w:numPr>
      </w:pPr>
      <w:r>
        <w:t xml:space="preserve">corrective-action launchers.</w:t>
      </w:r>
    </w:p>
    <w:bookmarkEnd w:id="22"/>
    <w:bookmarkStart w:id="23" w:name="layer-6-learning"/>
    <w:p>
      <w:pPr>
        <w:pStyle w:val="Heading3"/>
      </w:pPr>
      <w:r>
        <w:t xml:space="preserve">Layer 6: Learning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9"/>
        </w:numPr>
      </w:pPr>
      <w:r>
        <w:t xml:space="preserve">override and feedback analysis,</w:t>
      </w:r>
    </w:p>
    <w:p>
      <w:pPr>
        <w:pStyle w:val="Compact"/>
        <w:numPr>
          <w:ilvl w:val="0"/>
          <w:numId w:val="1009"/>
        </w:numPr>
      </w:pPr>
      <w:r>
        <w:t xml:space="preserve">false-positive/false-negative review loops,</w:t>
      </w:r>
    </w:p>
    <w:p>
      <w:pPr>
        <w:pStyle w:val="Compact"/>
        <w:numPr>
          <w:ilvl w:val="0"/>
          <w:numId w:val="1009"/>
        </w:numPr>
      </w:pPr>
      <w:r>
        <w:t xml:space="preserve">drift and adaptation signals.</w:t>
      </w:r>
    </w:p>
    <w:bookmarkEnd w:id="23"/>
    <w:bookmarkStart w:id="24" w:name="layer-7-governance"/>
    <w:p>
      <w:pPr>
        <w:pStyle w:val="Heading3"/>
      </w:pPr>
      <w:r>
        <w:t xml:space="preserve">Layer 7: Governance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policy and model lifecycle control,</w:t>
      </w:r>
    </w:p>
    <w:p>
      <w:pPr>
        <w:pStyle w:val="Compact"/>
        <w:numPr>
          <w:ilvl w:val="0"/>
          <w:numId w:val="1010"/>
        </w:numPr>
      </w:pPr>
      <w:r>
        <w:t xml:space="preserve">approval and rollback pathways,</w:t>
      </w:r>
    </w:p>
    <w:p>
      <w:pPr>
        <w:pStyle w:val="Compact"/>
        <w:numPr>
          <w:ilvl w:val="0"/>
          <w:numId w:val="1010"/>
        </w:numPr>
      </w:pPr>
      <w:r>
        <w:t xml:space="preserve">explainability and audit stores.</w:t>
      </w:r>
    </w:p>
    <w:bookmarkEnd w:id="24"/>
    <w:bookmarkStart w:id="25" w:name="layer-8-experience"/>
    <w:p>
      <w:pPr>
        <w:pStyle w:val="Heading3"/>
      </w:pPr>
      <w:r>
        <w:t xml:space="preserve">Layer 8: Experience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1"/>
        </w:numPr>
      </w:pPr>
      <w:r>
        <w:t xml:space="preserve">role-native worklists and command views,</w:t>
      </w:r>
    </w:p>
    <w:p>
      <w:pPr>
        <w:pStyle w:val="Compact"/>
        <w:numPr>
          <w:ilvl w:val="0"/>
          <w:numId w:val="1011"/>
        </w:numPr>
      </w:pPr>
      <w:r>
        <w:t xml:space="preserve">operational transparency across input-analysis-output.</w:t>
      </w:r>
    </w:p>
    <w:bookmarkEnd w:id="25"/>
    <w:bookmarkEnd w:id="26"/>
    <w:bookmarkStart w:id="27" w:name="multidomain-applicability"/>
    <w:p>
      <w:pPr>
        <w:pStyle w:val="Heading2"/>
      </w:pPr>
      <w:r>
        <w:t xml:space="preserve">5. Multidomain Applicability</w:t>
      </w:r>
    </w:p>
    <w:p>
      <w:pPr>
        <w:pStyle w:val="FirstParagraph"/>
      </w:pPr>
      <w:r>
        <w:t xml:space="preserve">The framework supports ten safety domains in the blueprint, with MVP prioritization of:</w:t>
      </w:r>
    </w:p>
    <w:p>
      <w:pPr>
        <w:pStyle w:val="Compact"/>
        <w:numPr>
          <w:ilvl w:val="0"/>
          <w:numId w:val="1012"/>
        </w:numPr>
      </w:pPr>
      <w:r>
        <w:t xml:space="preserve">medication safety,</w:t>
      </w:r>
    </w:p>
    <w:p>
      <w:pPr>
        <w:pStyle w:val="Compact"/>
        <w:numPr>
          <w:ilvl w:val="0"/>
          <w:numId w:val="1012"/>
        </w:numPr>
      </w:pPr>
      <w:r>
        <w:t xml:space="preserve">critical-result closure safety,</w:t>
      </w:r>
    </w:p>
    <w:p>
      <w:pPr>
        <w:pStyle w:val="Compact"/>
        <w:numPr>
          <w:ilvl w:val="0"/>
          <w:numId w:val="1012"/>
        </w:numPr>
      </w:pPr>
      <w:r>
        <w:t xml:space="preserve">deterioration/sepsis surveillance.</w:t>
      </w:r>
    </w:p>
    <w:p>
      <w:pPr>
        <w:pStyle w:val="FirstParagraph"/>
      </w:pPr>
      <w:r>
        <w:t xml:space="preserve">This preserves architectural breadth while constraining deployment scope for measurable implementation.</w:t>
      </w:r>
    </w:p>
    <w:bookmarkEnd w:id="27"/>
    <w:bookmarkStart w:id="28" w:name="operational-design-logic"/>
    <w:p>
      <w:pPr>
        <w:pStyle w:val="Heading2"/>
      </w:pPr>
      <w:r>
        <w:t xml:space="preserve">6. Operational Design Logic</w:t>
      </w:r>
    </w:p>
    <w:p>
      <w:pPr>
        <w:pStyle w:val="FirstParagraph"/>
      </w:pPr>
      <w:r>
        <w:t xml:space="preserve">The framework imposes six operational invariants:</w:t>
      </w:r>
    </w:p>
    <w:p>
      <w:pPr>
        <w:pStyle w:val="Compact"/>
        <w:numPr>
          <w:ilvl w:val="0"/>
          <w:numId w:val="1013"/>
        </w:numPr>
      </w:pPr>
      <w:r>
        <w:t xml:space="preserve">every alert must state evidence, owner, deadline, and action,</w:t>
      </w:r>
    </w:p>
    <w:p>
      <w:pPr>
        <w:pStyle w:val="Compact"/>
        <w:numPr>
          <w:ilvl w:val="0"/>
          <w:numId w:val="1013"/>
        </w:numPr>
      </w:pPr>
      <w:r>
        <w:t xml:space="preserve">every high-severity signal must support explicit escalation path,</w:t>
      </w:r>
    </w:p>
    <w:p>
      <w:pPr>
        <w:pStyle w:val="Compact"/>
        <w:numPr>
          <w:ilvl w:val="0"/>
          <w:numId w:val="1013"/>
        </w:numPr>
      </w:pPr>
      <w:r>
        <w:t xml:space="preserve">every intervention must permit accountable override capture,</w:t>
      </w:r>
    </w:p>
    <w:p>
      <w:pPr>
        <w:pStyle w:val="Compact"/>
        <w:numPr>
          <w:ilvl w:val="0"/>
          <w:numId w:val="1013"/>
        </w:numPr>
      </w:pPr>
      <w:r>
        <w:t xml:space="preserve">every pathway must support closure verification,</w:t>
      </w:r>
    </w:p>
    <w:p>
      <w:pPr>
        <w:pStyle w:val="Compact"/>
        <w:numPr>
          <w:ilvl w:val="0"/>
          <w:numId w:val="1013"/>
        </w:numPr>
      </w:pPr>
      <w:r>
        <w:t xml:space="preserve">every release must remain policy-governed,</w:t>
      </w:r>
    </w:p>
    <w:p>
      <w:pPr>
        <w:pStyle w:val="Compact"/>
        <w:numPr>
          <w:ilvl w:val="0"/>
          <w:numId w:val="1013"/>
        </w:numPr>
      </w:pPr>
      <w:r>
        <w:t xml:space="preserve">every production cycle must generate validation artifacts.</w:t>
      </w:r>
    </w:p>
    <w:bookmarkEnd w:id="28"/>
    <w:bookmarkStart w:id="29" w:name="evaluation-framework"/>
    <w:p>
      <w:pPr>
        <w:pStyle w:val="Heading2"/>
      </w:pPr>
      <w:r>
        <w:t xml:space="preserve">7. Evaluation Framework</w:t>
      </w:r>
    </w:p>
    <w:p>
      <w:pPr>
        <w:pStyle w:val="FirstParagraph"/>
      </w:pPr>
      <w:r>
        <w:t xml:space="preserve">Primary metrics are process-outcome linked:</w:t>
      </w:r>
    </w:p>
    <w:p>
      <w:pPr>
        <w:pStyle w:val="Compact"/>
        <w:numPr>
          <w:ilvl w:val="0"/>
          <w:numId w:val="1014"/>
        </w:numPr>
      </w:pPr>
      <w:r>
        <w:t xml:space="preserve">alert PPV/sensitivity,</w:t>
      </w:r>
    </w:p>
    <w:p>
      <w:pPr>
        <w:pStyle w:val="Compact"/>
        <w:numPr>
          <w:ilvl w:val="0"/>
          <w:numId w:val="1014"/>
        </w:numPr>
      </w:pPr>
      <w:r>
        <w:t xml:space="preserve">time-to-detection,</w:t>
      </w:r>
    </w:p>
    <w:p>
      <w:pPr>
        <w:pStyle w:val="Compact"/>
        <w:numPr>
          <w:ilvl w:val="0"/>
          <w:numId w:val="1014"/>
        </w:numPr>
      </w:pPr>
      <w:r>
        <w:t xml:space="preserve">time-to-acknowledgment,</w:t>
      </w:r>
    </w:p>
    <w:p>
      <w:pPr>
        <w:pStyle w:val="Compact"/>
        <w:numPr>
          <w:ilvl w:val="0"/>
          <w:numId w:val="1014"/>
        </w:numPr>
      </w:pPr>
      <w:r>
        <w:t xml:space="preserve">time-to-action,</w:t>
      </w:r>
    </w:p>
    <w:p>
      <w:pPr>
        <w:pStyle w:val="Compact"/>
        <w:numPr>
          <w:ilvl w:val="0"/>
          <w:numId w:val="1014"/>
        </w:numPr>
      </w:pPr>
      <w:r>
        <w:t xml:space="preserve">closure completeness,</w:t>
      </w:r>
    </w:p>
    <w:p>
      <w:pPr>
        <w:pStyle w:val="Compact"/>
        <w:numPr>
          <w:ilvl w:val="0"/>
          <w:numId w:val="1014"/>
        </w:numPr>
      </w:pPr>
      <w:r>
        <w:t xml:space="preserve">override and no-action-after-alert rates.</w:t>
      </w:r>
    </w:p>
    <w:bookmarkEnd w:id="29"/>
    <w:bookmarkStart w:id="30" w:name="discussion"/>
    <w:p>
      <w:pPr>
        <w:pStyle w:val="Heading2"/>
      </w:pPr>
      <w:r>
        <w:t xml:space="preserve">8. Discussion</w:t>
      </w:r>
    </w:p>
    <w:p>
      <w:pPr>
        <w:pStyle w:val="FirstParagraph"/>
      </w:pPr>
      <w:r>
        <w:t xml:space="preserve">The SentinelCare systems framework contributes a coherent bridge between technical architecture and clinical safety operations. Its value lies in integration: the same framework that detects risk also carries responsibility, escalation, closure, and governance state.</w:t>
      </w:r>
    </w:p>
    <w:p>
      <w:pPr>
        <w:pStyle w:val="BodyText"/>
      </w:pPr>
      <w:r>
        <w:t xml:space="preserve">The immediate next requirement is prospective pilot validation under controlled governance with narrowly scoped alert classes.</w:t>
      </w:r>
    </w:p>
    <w:bookmarkEnd w:id="30"/>
    <w:bookmarkStart w:id="31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SentinelCare defines a computable patient safety architecture that is prospective, modular, human-governed, and measurable. It establishes a robust theoretical base for staged translation from prototype to validated clinical operations.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2026-03-07T17:06:37Z</dcterms:created>
  <dcterms:modified xsi:type="dcterms:W3CDTF">2026-03-07T17:06:37Z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