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935c67944eaafe36454c2481c51ec98044d5de"/>
    <w:p>
      <w:pPr>
        <w:pStyle w:val="Heading1"/>
      </w:pPr>
      <w:r>
        <w:t xml:space="preserve">Manuscript 2: Domain Taxonomy and Process-Deviation Framework for Medical Error Intelligence</w:t>
      </w:r>
    </w:p>
    <w:bookmarkStart w:id="9" w:name="proposed-title"/>
    <w:p>
      <w:pPr>
        <w:pStyle w:val="Heading2"/>
      </w:pPr>
      <w:r>
        <w:t xml:space="preserve">Proposed Title</w:t>
      </w:r>
    </w:p>
    <w:p>
      <w:pPr>
        <w:pStyle w:val="FirstParagraph"/>
      </w:pPr>
      <w:r>
        <w:t xml:space="preserve">A Unified Domain and Process-Deviation Framework for Multidomain Medical Error Detection and Prevention</w:t>
      </w:r>
    </w:p>
    <w:bookmarkEnd w:id="9"/>
    <w:bookmarkStart w:id="14" w:name="abstract"/>
    <w:p>
      <w:pPr>
        <w:pStyle w:val="Heading2"/>
      </w:pPr>
      <w:r>
        <w:t xml:space="preserve">Abstract</w:t>
      </w:r>
    </w:p>
    <w:bookmarkStart w:id="10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Clinical harm emerges through heterogeneous patterns spanning medication, diagnostics, procedures, deterioration, transitions, and operations. Fragmented safety taxonomies limit scalable computable surveillance.</w:t>
      </w:r>
    </w:p>
    <w:bookmarkEnd w:id="10"/>
    <w:bookmarkStart w:id="11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define a unified multidomain taxonomy and process-deviation framework that supports prospective error detection across complex healthcare workflows.</w:t>
      </w:r>
    </w:p>
    <w:bookmarkEnd w:id="11"/>
    <w:bookmarkStart w:id="12" w:name="framework"/>
    <w:p>
      <w:pPr>
        <w:pStyle w:val="Heading3"/>
      </w:pPr>
      <w:r>
        <w:t xml:space="preserve">Framework</w:t>
      </w:r>
    </w:p>
    <w:p>
      <w:pPr>
        <w:pStyle w:val="FirstParagraph"/>
      </w:pPr>
      <w:r>
        <w:t xml:space="preserve">The framework operationalizes ten safety domains and maps each domain to process-chain failure modes: omission, contradiction, delay, sequencing error, and closure failure. It pairs domain-specific trigger classes with standardized alert semantics, ownership metadata, and escalation obligations.</w:t>
      </w:r>
    </w:p>
    <w:bookmarkEnd w:id="12"/>
    <w:bookmarkStart w:id="13" w:name="contribution"/>
    <w:p>
      <w:pPr>
        <w:pStyle w:val="Heading3"/>
      </w:pPr>
      <w:r>
        <w:t xml:space="preserve">Contribution</w:t>
      </w:r>
    </w:p>
    <w:p>
      <w:pPr>
        <w:pStyle w:val="FirstParagraph"/>
      </w:pPr>
      <w:r>
        <w:t xml:space="preserve">The framework enables consistent representation of diverse safety risks while preserving domain-specific clinical logic. It supports staged implementation, cross-domain learning, and comparable evaluation across pilot and scale-up deployments.</w:t>
      </w:r>
    </w:p>
    <w:bookmarkEnd w:id="13"/>
    <w:bookmarkEnd w:id="14"/>
    <w:bookmarkStart w:id="15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Patient safety programs often suffer from two opposing problems:</w:t>
      </w:r>
    </w:p>
    <w:p>
      <w:pPr>
        <w:pStyle w:val="Compact"/>
        <w:numPr>
          <w:ilvl w:val="0"/>
          <w:numId w:val="1001"/>
        </w:numPr>
      </w:pPr>
      <w:r>
        <w:t xml:space="preserve">narrow tools with high local precision but no portability,</w:t>
      </w:r>
    </w:p>
    <w:p>
      <w:pPr>
        <w:pStyle w:val="Compact"/>
        <w:numPr>
          <w:ilvl w:val="0"/>
          <w:numId w:val="1001"/>
        </w:numPr>
      </w:pPr>
      <w:r>
        <w:t xml:space="preserve">broad taxonomies with limited operational executability.</w:t>
      </w:r>
    </w:p>
    <w:p>
      <w:pPr>
        <w:pStyle w:val="FirstParagraph"/>
      </w:pPr>
      <w:r>
        <w:t xml:space="preserve">The SentinelCare blueprint proposes a middle path: a unified framework with standardized process semantics and domain-specific trigger logic.</w:t>
      </w:r>
    </w:p>
    <w:bookmarkEnd w:id="15"/>
    <w:bookmarkStart w:id="16" w:name="domain-taxonomy"/>
    <w:p>
      <w:pPr>
        <w:pStyle w:val="Heading2"/>
      </w:pPr>
      <w:r>
        <w:t xml:space="preserve">2. Domain Taxonomy</w:t>
      </w:r>
    </w:p>
    <w:p>
      <w:pPr>
        <w:pStyle w:val="FirstParagraph"/>
      </w:pPr>
      <w:r>
        <w:t xml:space="preserve">The framework defines ten domain classes:</w:t>
      </w:r>
    </w:p>
    <w:p>
      <w:pPr>
        <w:pStyle w:val="Compact"/>
        <w:numPr>
          <w:ilvl w:val="0"/>
          <w:numId w:val="1002"/>
        </w:numPr>
      </w:pPr>
      <w:r>
        <w:t xml:space="preserve">medication safety,</w:t>
      </w:r>
    </w:p>
    <w:p>
      <w:pPr>
        <w:pStyle w:val="Compact"/>
        <w:numPr>
          <w:ilvl w:val="0"/>
          <w:numId w:val="1002"/>
        </w:numPr>
      </w:pPr>
      <w:r>
        <w:t xml:space="preserve">diagnostic safety,</w:t>
      </w:r>
    </w:p>
    <w:p>
      <w:pPr>
        <w:pStyle w:val="Compact"/>
        <w:numPr>
          <w:ilvl w:val="0"/>
          <w:numId w:val="1002"/>
        </w:numPr>
      </w:pPr>
      <w:r>
        <w:t xml:space="preserve">procedure/surgical safety,</w:t>
      </w:r>
    </w:p>
    <w:p>
      <w:pPr>
        <w:pStyle w:val="Compact"/>
        <w:numPr>
          <w:ilvl w:val="0"/>
          <w:numId w:val="1002"/>
        </w:numPr>
      </w:pPr>
      <w:r>
        <w:t xml:space="preserve">deterioration surveillance,</w:t>
      </w:r>
    </w:p>
    <w:p>
      <w:pPr>
        <w:pStyle w:val="Compact"/>
        <w:numPr>
          <w:ilvl w:val="0"/>
          <w:numId w:val="1002"/>
        </w:numPr>
      </w:pPr>
      <w:r>
        <w:t xml:space="preserve">infection prevention/environmental safety,</w:t>
      </w:r>
    </w:p>
    <w:p>
      <w:pPr>
        <w:pStyle w:val="Compact"/>
        <w:numPr>
          <w:ilvl w:val="0"/>
          <w:numId w:val="1002"/>
        </w:numPr>
      </w:pPr>
      <w:r>
        <w:t xml:space="preserve">laboratory/radiology process safety,</w:t>
      </w:r>
    </w:p>
    <w:p>
      <w:pPr>
        <w:pStyle w:val="Compact"/>
        <w:numPr>
          <w:ilvl w:val="0"/>
          <w:numId w:val="1002"/>
        </w:numPr>
      </w:pPr>
      <w:r>
        <w:t xml:space="preserve">care transition safety,</w:t>
      </w:r>
    </w:p>
    <w:p>
      <w:pPr>
        <w:pStyle w:val="Compact"/>
        <w:numPr>
          <w:ilvl w:val="0"/>
          <w:numId w:val="1002"/>
        </w:numPr>
      </w:pPr>
      <w:r>
        <w:t xml:space="preserve">documentation/communication safety,</w:t>
      </w:r>
    </w:p>
    <w:p>
      <w:pPr>
        <w:pStyle w:val="Compact"/>
        <w:numPr>
          <w:ilvl w:val="0"/>
          <w:numId w:val="1002"/>
        </w:numPr>
      </w:pPr>
      <w:r>
        <w:t xml:space="preserve">device/equipment safety,</w:t>
      </w:r>
    </w:p>
    <w:p>
      <w:pPr>
        <w:pStyle w:val="Compact"/>
        <w:numPr>
          <w:ilvl w:val="0"/>
          <w:numId w:val="1002"/>
        </w:numPr>
      </w:pPr>
      <w:r>
        <w:t xml:space="preserve">operational safety.</w:t>
      </w:r>
    </w:p>
    <w:bookmarkEnd w:id="16"/>
    <w:bookmarkStart w:id="17" w:name="process-deviation-typology"/>
    <w:p>
      <w:pPr>
        <w:pStyle w:val="Heading2"/>
      </w:pPr>
      <w:r>
        <w:t xml:space="preserve">3. Process-Deviation Typology</w:t>
      </w:r>
    </w:p>
    <w:p>
      <w:pPr>
        <w:pStyle w:val="FirstParagraph"/>
      </w:pPr>
      <w:r>
        <w:t xml:space="preserve">Every domain event is evaluated through a shared deviation grammar:</w:t>
      </w:r>
    </w:p>
    <w:p>
      <w:pPr>
        <w:pStyle w:val="Compact"/>
        <w:numPr>
          <w:ilvl w:val="0"/>
          <w:numId w:val="1003"/>
        </w:numPr>
      </w:pPr>
      <w:r>
        <w:t xml:space="preserve">omission (expected action not executed),</w:t>
      </w:r>
    </w:p>
    <w:p>
      <w:pPr>
        <w:pStyle w:val="Compact"/>
        <w:numPr>
          <w:ilvl w:val="0"/>
          <w:numId w:val="1003"/>
        </w:numPr>
      </w:pPr>
      <w:r>
        <w:t xml:space="preserve">contradiction (discordant evidence across sources),</w:t>
      </w:r>
    </w:p>
    <w:p>
      <w:pPr>
        <w:pStyle w:val="Compact"/>
        <w:numPr>
          <w:ilvl w:val="0"/>
          <w:numId w:val="1003"/>
        </w:numPr>
      </w:pPr>
      <w:r>
        <w:t xml:space="preserve">harmful delay (time threshold breached),</w:t>
      </w:r>
    </w:p>
    <w:p>
      <w:pPr>
        <w:pStyle w:val="Compact"/>
        <w:numPr>
          <w:ilvl w:val="0"/>
          <w:numId w:val="1003"/>
        </w:numPr>
      </w:pPr>
      <w:r>
        <w:t xml:space="preserve">sequencing mismatch (order of actions unsafe),</w:t>
      </w:r>
    </w:p>
    <w:p>
      <w:pPr>
        <w:pStyle w:val="Compact"/>
        <w:numPr>
          <w:ilvl w:val="0"/>
          <w:numId w:val="1003"/>
        </w:numPr>
      </w:pPr>
      <w:r>
        <w:t xml:space="preserve">closure failure (issue unresolved despite acknowledgement).</w:t>
      </w:r>
    </w:p>
    <w:p>
      <w:pPr>
        <w:pStyle w:val="FirstParagraph"/>
      </w:pPr>
      <w:r>
        <w:t xml:space="preserve">This grammar enables comparable logic across otherwise dissimilar clinical contexts.</w:t>
      </w:r>
    </w:p>
    <w:bookmarkEnd w:id="17"/>
    <w:bookmarkStart w:id="18" w:name="event-and-alert-standardization"/>
    <w:p>
      <w:pPr>
        <w:pStyle w:val="Heading2"/>
      </w:pPr>
      <w:r>
        <w:t xml:space="preserve">4. Event and Alert Standardization</w:t>
      </w:r>
    </w:p>
    <w:p>
      <w:pPr>
        <w:pStyle w:val="FirstParagraph"/>
      </w:pPr>
      <w:r>
        <w:t xml:space="preserve">The framework uses event-normalized inputs and shared alert schema:</w:t>
      </w:r>
    </w:p>
    <w:p>
      <w:pPr>
        <w:pStyle w:val="BodyText"/>
      </w:pPr>
      <w:r>
        <w:t xml:space="preserve">Alert minimum fields:</w:t>
      </w:r>
    </w:p>
    <w:p>
      <w:pPr>
        <w:pStyle w:val="Compact"/>
        <w:numPr>
          <w:ilvl w:val="0"/>
          <w:numId w:val="1004"/>
        </w:numPr>
      </w:pPr>
      <w:r>
        <w:t xml:space="preserve">why it fired,</w:t>
      </w:r>
    </w:p>
    <w:p>
      <w:pPr>
        <w:pStyle w:val="Compact"/>
        <w:numPr>
          <w:ilvl w:val="0"/>
          <w:numId w:val="1004"/>
        </w:numPr>
      </w:pPr>
      <w:r>
        <w:t xml:space="preserve">evidence source,</w:t>
      </w:r>
    </w:p>
    <w:p>
      <w:pPr>
        <w:pStyle w:val="Compact"/>
        <w:numPr>
          <w:ilvl w:val="0"/>
          <w:numId w:val="1004"/>
        </w:numPr>
      </w:pPr>
      <w:r>
        <w:t xml:space="preserve">actor responsible,</w:t>
      </w:r>
    </w:p>
    <w:p>
      <w:pPr>
        <w:pStyle w:val="Compact"/>
        <w:numPr>
          <w:ilvl w:val="0"/>
          <w:numId w:val="1004"/>
        </w:numPr>
      </w:pPr>
      <w:r>
        <w:t xml:space="preserve">action deadline,</w:t>
      </w:r>
    </w:p>
    <w:p>
      <w:pPr>
        <w:pStyle w:val="Compact"/>
        <w:numPr>
          <w:ilvl w:val="0"/>
          <w:numId w:val="1004"/>
        </w:numPr>
      </w:pPr>
      <w:r>
        <w:t xml:space="preserve">recommended next step,</w:t>
      </w:r>
    </w:p>
    <w:p>
      <w:pPr>
        <w:pStyle w:val="Compact"/>
        <w:numPr>
          <w:ilvl w:val="0"/>
          <w:numId w:val="1004"/>
        </w:numPr>
      </w:pPr>
      <w:r>
        <w:t xml:space="preserve">override policy.</w:t>
      </w:r>
    </w:p>
    <w:p>
      <w:pPr>
        <w:pStyle w:val="FirstParagraph"/>
      </w:pPr>
      <w:r>
        <w:t xml:space="preserve">This standardization improves both workflow usability and governance traceability.</w:t>
      </w:r>
    </w:p>
    <w:bookmarkEnd w:id="18"/>
    <w:bookmarkStart w:id="22" w:name="domain-specific-examples"/>
    <w:p>
      <w:pPr>
        <w:pStyle w:val="Heading2"/>
      </w:pPr>
      <w:r>
        <w:t xml:space="preserve">5. Domain-specific Examples</w:t>
      </w:r>
    </w:p>
    <w:bookmarkStart w:id="19" w:name="medication-domain"/>
    <w:p>
      <w:pPr>
        <w:pStyle w:val="Heading3"/>
      </w:pPr>
      <w:r>
        <w:t xml:space="preserve">Medication domain</w:t>
      </w:r>
    </w:p>
    <w:p>
      <w:pPr>
        <w:pStyle w:val="FirstParagraph"/>
      </w:pPr>
      <w:r>
        <w:t xml:space="preserve">Mapped deviations:</w:t>
      </w:r>
    </w:p>
    <w:p>
      <w:pPr>
        <w:pStyle w:val="Compact"/>
        <w:numPr>
          <w:ilvl w:val="0"/>
          <w:numId w:val="1005"/>
        </w:numPr>
      </w:pPr>
      <w:r>
        <w:t xml:space="preserve">contraindication contradictions,</w:t>
      </w:r>
    </w:p>
    <w:p>
      <w:pPr>
        <w:pStyle w:val="Compact"/>
        <w:numPr>
          <w:ilvl w:val="0"/>
          <w:numId w:val="1005"/>
        </w:numPr>
      </w:pPr>
      <w:r>
        <w:t xml:space="preserve">renal/hepatic adjustment omissions,</w:t>
      </w:r>
    </w:p>
    <w:p>
      <w:pPr>
        <w:pStyle w:val="Compact"/>
        <w:numPr>
          <w:ilvl w:val="0"/>
          <w:numId w:val="1005"/>
        </w:numPr>
      </w:pPr>
      <w:r>
        <w:t xml:space="preserve">duplicate therapy sequencing errors,</w:t>
      </w:r>
    </w:p>
    <w:p>
      <w:pPr>
        <w:pStyle w:val="Compact"/>
        <w:numPr>
          <w:ilvl w:val="0"/>
          <w:numId w:val="1005"/>
        </w:numPr>
      </w:pPr>
      <w:r>
        <w:t xml:space="preserve">discharge reconciliation closure failures.</w:t>
      </w:r>
    </w:p>
    <w:bookmarkEnd w:id="19"/>
    <w:bookmarkStart w:id="20" w:name="critical-result-closure-domain"/>
    <w:p>
      <w:pPr>
        <w:pStyle w:val="Heading3"/>
      </w:pPr>
      <w:r>
        <w:t xml:space="preserve">Critical-result closure domain</w:t>
      </w:r>
    </w:p>
    <w:p>
      <w:pPr>
        <w:pStyle w:val="FirstParagraph"/>
      </w:pPr>
      <w:r>
        <w:t xml:space="preserve">Mapped deviations:</w:t>
      </w:r>
    </w:p>
    <w:p>
      <w:pPr>
        <w:pStyle w:val="Compact"/>
        <w:numPr>
          <w:ilvl w:val="0"/>
          <w:numId w:val="1006"/>
        </w:numPr>
      </w:pPr>
      <w:r>
        <w:t xml:space="preserve">unacknowledged critical values (delay),</w:t>
      </w:r>
    </w:p>
    <w:p>
      <w:pPr>
        <w:pStyle w:val="Compact"/>
        <w:numPr>
          <w:ilvl w:val="0"/>
          <w:numId w:val="1006"/>
        </w:numPr>
      </w:pPr>
      <w:r>
        <w:t xml:space="preserve">acknowledged-without-action (closure failure),</w:t>
      </w:r>
    </w:p>
    <w:p>
      <w:pPr>
        <w:pStyle w:val="Compact"/>
        <w:numPr>
          <w:ilvl w:val="0"/>
          <w:numId w:val="1006"/>
        </w:numPr>
      </w:pPr>
      <w:r>
        <w:t xml:space="preserve">pending critical result post-discharge (transition omission).</w:t>
      </w:r>
    </w:p>
    <w:bookmarkEnd w:id="20"/>
    <w:bookmarkStart w:id="21" w:name="deterioration-domain"/>
    <w:p>
      <w:pPr>
        <w:pStyle w:val="Heading3"/>
      </w:pPr>
      <w:r>
        <w:t xml:space="preserve">Deterioration domain</w:t>
      </w:r>
    </w:p>
    <w:p>
      <w:pPr>
        <w:pStyle w:val="FirstParagraph"/>
      </w:pPr>
      <w:r>
        <w:t xml:space="preserve">Mapped deviations:</w:t>
      </w:r>
    </w:p>
    <w:p>
      <w:pPr>
        <w:pStyle w:val="Compact"/>
        <w:numPr>
          <w:ilvl w:val="0"/>
          <w:numId w:val="1007"/>
        </w:numPr>
      </w:pPr>
      <w:r>
        <w:t xml:space="preserve">rising-risk watchlist thresholds,</w:t>
      </w:r>
    </w:p>
    <w:p>
      <w:pPr>
        <w:pStyle w:val="Compact"/>
        <w:numPr>
          <w:ilvl w:val="0"/>
          <w:numId w:val="1007"/>
        </w:numPr>
      </w:pPr>
      <w:r>
        <w:t xml:space="preserve">sepsis-bundle process deviations,</w:t>
      </w:r>
    </w:p>
    <w:p>
      <w:pPr>
        <w:pStyle w:val="Compact"/>
        <w:numPr>
          <w:ilvl w:val="0"/>
          <w:numId w:val="1007"/>
        </w:numPr>
      </w:pPr>
      <w:r>
        <w:t xml:space="preserve">delayed escalation timing failures.</w:t>
      </w:r>
    </w:p>
    <w:bookmarkEnd w:id="21"/>
    <w:bookmarkEnd w:id="22"/>
    <w:bookmarkStart w:id="23" w:name="framework-for-accountability"/>
    <w:p>
      <w:pPr>
        <w:pStyle w:val="Heading2"/>
      </w:pPr>
      <w:r>
        <w:t xml:space="preserve">6. Framework for Accountability</w:t>
      </w:r>
    </w:p>
    <w:p>
      <w:pPr>
        <w:pStyle w:val="FirstParagraph"/>
      </w:pPr>
      <w:r>
        <w:t xml:space="preserve">To move from detection to prevention, each alert must bind:</w:t>
      </w:r>
    </w:p>
    <w:p>
      <w:pPr>
        <w:pStyle w:val="Compact"/>
        <w:numPr>
          <w:ilvl w:val="0"/>
          <w:numId w:val="1008"/>
        </w:numPr>
      </w:pPr>
      <w:r>
        <w:t xml:space="preserve">a designated owner role,</w:t>
      </w:r>
    </w:p>
    <w:p>
      <w:pPr>
        <w:pStyle w:val="Compact"/>
        <w:numPr>
          <w:ilvl w:val="0"/>
          <w:numId w:val="1008"/>
        </w:numPr>
      </w:pPr>
      <w:r>
        <w:t xml:space="preserve">escalation chain,</w:t>
      </w:r>
    </w:p>
    <w:p>
      <w:pPr>
        <w:pStyle w:val="Compact"/>
        <w:numPr>
          <w:ilvl w:val="0"/>
          <w:numId w:val="1008"/>
        </w:numPr>
      </w:pPr>
      <w:r>
        <w:t xml:space="preserve">review and override logging,</w:t>
      </w:r>
    </w:p>
    <w:p>
      <w:pPr>
        <w:pStyle w:val="Compact"/>
        <w:numPr>
          <w:ilvl w:val="0"/>
          <w:numId w:val="1008"/>
        </w:numPr>
      </w:pPr>
      <w:r>
        <w:t xml:space="preserve">closure status.</w:t>
      </w:r>
    </w:p>
    <w:p>
      <w:pPr>
        <w:pStyle w:val="FirstParagraph"/>
      </w:pPr>
      <w:r>
        <w:t xml:space="preserve">This converts passive alerts into enforceable workflow units.</w:t>
      </w:r>
    </w:p>
    <w:bookmarkEnd w:id="23"/>
    <w:bookmarkStart w:id="24" w:name="evaluation-structure"/>
    <w:p>
      <w:pPr>
        <w:pStyle w:val="Heading2"/>
      </w:pPr>
      <w:r>
        <w:t xml:space="preserve">7. Evaluation Structure</w:t>
      </w:r>
    </w:p>
    <w:p>
      <w:pPr>
        <w:pStyle w:val="FirstParagraph"/>
      </w:pPr>
      <w:r>
        <w:t xml:space="preserve">Cross-domain comparability is enabled by common metrics:</w:t>
      </w:r>
    </w:p>
    <w:p>
      <w:pPr>
        <w:pStyle w:val="Compact"/>
        <w:numPr>
          <w:ilvl w:val="0"/>
          <w:numId w:val="1009"/>
        </w:numPr>
      </w:pPr>
      <w:r>
        <w:t xml:space="preserve">detection timeliness,</w:t>
      </w:r>
    </w:p>
    <w:p>
      <w:pPr>
        <w:pStyle w:val="Compact"/>
        <w:numPr>
          <w:ilvl w:val="0"/>
          <w:numId w:val="1009"/>
        </w:numPr>
      </w:pPr>
      <w:r>
        <w:t xml:space="preserve">owner acknowledgment timeliness,</w:t>
      </w:r>
    </w:p>
    <w:p>
      <w:pPr>
        <w:pStyle w:val="Compact"/>
        <w:numPr>
          <w:ilvl w:val="0"/>
          <w:numId w:val="1009"/>
        </w:numPr>
      </w:pPr>
      <w:r>
        <w:t xml:space="preserve">closure completeness,</w:t>
      </w:r>
    </w:p>
    <w:p>
      <w:pPr>
        <w:pStyle w:val="Compact"/>
        <w:numPr>
          <w:ilvl w:val="0"/>
          <w:numId w:val="1009"/>
        </w:numPr>
      </w:pPr>
      <w:r>
        <w:t xml:space="preserve">harmful false-positive rate,</w:t>
      </w:r>
    </w:p>
    <w:p>
      <w:pPr>
        <w:pStyle w:val="Compact"/>
        <w:numPr>
          <w:ilvl w:val="0"/>
          <w:numId w:val="1009"/>
        </w:numPr>
      </w:pPr>
      <w:r>
        <w:t xml:space="preserve">no-action-after-alert rate.</w:t>
      </w:r>
    </w:p>
    <w:p>
      <w:pPr>
        <w:pStyle w:val="FirstParagraph"/>
      </w:pPr>
      <w:r>
        <w:t xml:space="preserve">Domain-specific extensions can be layered without breaking core comparability.</w:t>
      </w:r>
    </w:p>
    <w:bookmarkEnd w:id="24"/>
    <w:bookmarkStart w:id="25" w:name="discussion"/>
    <w:p>
      <w:pPr>
        <w:pStyle w:val="Heading2"/>
      </w:pPr>
      <w:r>
        <w:t xml:space="preserve">8. Discussion</w:t>
      </w:r>
    </w:p>
    <w:p>
      <w:pPr>
        <w:pStyle w:val="FirstParagraph"/>
      </w:pPr>
      <w:r>
        <w:t xml:space="preserve">A unified domain-process framework improves scalability by separating:</w:t>
      </w:r>
    </w:p>
    <w:p>
      <w:pPr>
        <w:pStyle w:val="Compact"/>
        <w:numPr>
          <w:ilvl w:val="0"/>
          <w:numId w:val="1010"/>
        </w:numPr>
      </w:pPr>
      <w:r>
        <w:t xml:space="preserve">universal process semantics,</w:t>
      </w:r>
    </w:p>
    <w:p>
      <w:pPr>
        <w:pStyle w:val="Compact"/>
        <w:numPr>
          <w:ilvl w:val="0"/>
          <w:numId w:val="1010"/>
        </w:numPr>
      </w:pPr>
      <w:r>
        <w:t xml:space="preserve">local clinical logic.</w:t>
      </w:r>
    </w:p>
    <w:p>
      <w:pPr>
        <w:pStyle w:val="FirstParagraph"/>
      </w:pPr>
      <w:r>
        <w:t xml:space="preserve">This structure supports both site adaptation and governance consistency.</w:t>
      </w:r>
    </w:p>
    <w:bookmarkEnd w:id="25"/>
    <w:bookmarkStart w:id="26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The proposed taxonomy and deviation framework offers a robust theoretical base for multidomain safety intelligence. It is suitable for staged implementation beginning with narrow, high-value domains and expanding under common operational semantics.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2026-03-07T17:06:37Z</dcterms:created>
  <dcterms:modified xsi:type="dcterms:W3CDTF">2026-03-07T17:06:37Z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