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9552a747e39a1430daf4502f675e7c6ee9b5d6"/>
    <w:p>
      <w:pPr>
        <w:pStyle w:val="Heading1"/>
      </w:pPr>
      <w:r>
        <w:t xml:space="preserve">Manuscript 3: Governance and Validation Framework for Human-Governed Clinical Safety AI Platforms</w:t>
      </w:r>
    </w:p>
    <w:bookmarkStart w:id="9" w:name="proposed-title"/>
    <w:p>
      <w:pPr>
        <w:pStyle w:val="Heading2"/>
      </w:pPr>
      <w:r>
        <w:t xml:space="preserve">Proposed Title</w:t>
      </w:r>
    </w:p>
    <w:p>
      <w:pPr>
        <w:pStyle w:val="FirstParagraph"/>
      </w:pPr>
      <w:r>
        <w:t xml:space="preserve">A Governance-First Validation Framework for Real-Time Clinical Safety Intelligence Systems</w:t>
      </w:r>
    </w:p>
    <w:bookmarkEnd w:id="9"/>
    <w:bookmarkStart w:id="14" w:name="abstract"/>
    <w:p>
      <w:pPr>
        <w:pStyle w:val="Heading2"/>
      </w:pPr>
      <w:r>
        <w:t xml:space="preserve">Abstract</w:t>
      </w:r>
    </w:p>
    <w:bookmarkStart w:id="10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Safety AI in healthcare fails when governance and validation are treated as post-hoc compliance rather than core operational functions.</w:t>
      </w:r>
    </w:p>
    <w:bookmarkEnd w:id="10"/>
    <w:bookmarkStart w:id="1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define a governance-first validation framework for real-time safety intelligence platforms that balances performance, accountability, and clinical oversight.</w:t>
      </w:r>
    </w:p>
    <w:bookmarkEnd w:id="11"/>
    <w:bookmarkStart w:id="12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The framework integrates policy lifecycle management, auditable intervention traces, override governance, release gates, and staged validation (retrospective, silent prospective, controlled live pilot, scale-up). It specifies minimum governance artifacts, safety thresholds, and escalation controls required before wider deployment.</w:t>
      </w:r>
    </w:p>
    <w:bookmarkEnd w:id="12"/>
    <w:bookmarkStart w:id="13" w:name="implications"/>
    <w:p>
      <w:pPr>
        <w:pStyle w:val="Heading3"/>
      </w:pPr>
      <w:r>
        <w:t xml:space="preserve">Implications</w:t>
      </w:r>
    </w:p>
    <w:p>
      <w:pPr>
        <w:pStyle w:val="FirstParagraph"/>
      </w:pPr>
      <w:r>
        <w:t xml:space="preserve">Embedding governance into runtime operations reduces unsafe automation risk and supports trustworthy, site-adaptable safety deployment.</w:t>
      </w:r>
    </w:p>
    <w:bookmarkEnd w:id="13"/>
    <w:bookmarkEnd w:id="14"/>
    <w:bookmarkStart w:id="1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Clinical AI adoption depends on three coupled requirements:</w:t>
      </w:r>
    </w:p>
    <w:p>
      <w:pPr>
        <w:pStyle w:val="Compact"/>
        <w:numPr>
          <w:ilvl w:val="0"/>
          <w:numId w:val="1001"/>
        </w:numPr>
      </w:pPr>
      <w:r>
        <w:t xml:space="preserve">performance validity,</w:t>
      </w:r>
    </w:p>
    <w:p>
      <w:pPr>
        <w:pStyle w:val="Compact"/>
        <w:numPr>
          <w:ilvl w:val="0"/>
          <w:numId w:val="1001"/>
        </w:numPr>
      </w:pPr>
      <w:r>
        <w:t xml:space="preserve">operational reliability,</w:t>
      </w:r>
    </w:p>
    <w:p>
      <w:pPr>
        <w:pStyle w:val="Compact"/>
        <w:numPr>
          <w:ilvl w:val="0"/>
          <w:numId w:val="1001"/>
        </w:numPr>
      </w:pPr>
      <w:r>
        <w:t xml:space="preserve">governance legitimacy.</w:t>
      </w:r>
    </w:p>
    <w:p>
      <w:pPr>
        <w:pStyle w:val="FirstParagraph"/>
      </w:pPr>
      <w:r>
        <w:t xml:space="preserve">Many systems optimize only the first requirement. SentinelCare’s blueprint treats governance and validation as first-class architecture layers.</w:t>
      </w:r>
    </w:p>
    <w:bookmarkEnd w:id="15"/>
    <w:bookmarkStart w:id="16" w:name="governance-architecture"/>
    <w:p>
      <w:pPr>
        <w:pStyle w:val="Heading2"/>
      </w:pPr>
      <w:r>
        <w:t xml:space="preserve">2. Governance Architecture</w:t>
      </w:r>
    </w:p>
    <w:p>
      <w:pPr>
        <w:pStyle w:val="FirstParagraph"/>
      </w:pPr>
      <w:r>
        <w:t xml:space="preserve">Core governance components:</w:t>
      </w:r>
    </w:p>
    <w:p>
      <w:pPr>
        <w:pStyle w:val="Compact"/>
        <w:numPr>
          <w:ilvl w:val="0"/>
          <w:numId w:val="1002"/>
        </w:numPr>
      </w:pPr>
      <w:r>
        <w:t xml:space="preserve">policy version control,</w:t>
      </w:r>
    </w:p>
    <w:p>
      <w:pPr>
        <w:pStyle w:val="Compact"/>
        <w:numPr>
          <w:ilvl w:val="0"/>
          <w:numId w:val="1002"/>
        </w:numPr>
      </w:pPr>
      <w:r>
        <w:t xml:space="preserve">approval state transitions,</w:t>
      </w:r>
    </w:p>
    <w:p>
      <w:pPr>
        <w:pStyle w:val="Compact"/>
        <w:numPr>
          <w:ilvl w:val="0"/>
          <w:numId w:val="1002"/>
        </w:numPr>
      </w:pPr>
      <w:r>
        <w:t xml:space="preserve">model/policy release gates,</w:t>
      </w:r>
    </w:p>
    <w:p>
      <w:pPr>
        <w:pStyle w:val="Compact"/>
        <w:numPr>
          <w:ilvl w:val="0"/>
          <w:numId w:val="1002"/>
        </w:numPr>
      </w:pPr>
      <w:r>
        <w:t xml:space="preserve">audit and explainability stores,</w:t>
      </w:r>
    </w:p>
    <w:p>
      <w:pPr>
        <w:pStyle w:val="Compact"/>
        <w:numPr>
          <w:ilvl w:val="0"/>
          <w:numId w:val="1002"/>
        </w:numPr>
      </w:pPr>
      <w:r>
        <w:t xml:space="preserve">rollback/kill-switch controls.</w:t>
      </w:r>
    </w:p>
    <w:p>
      <w:pPr>
        <w:pStyle w:val="FirstParagraph"/>
      </w:pPr>
      <w:r>
        <w:t xml:space="preserve">The architecture requires explicit separation of draft, active, and retired policy states.</w:t>
      </w:r>
    </w:p>
    <w:bookmarkEnd w:id="16"/>
    <w:bookmarkStart w:id="17" w:name="human-oversight-framework"/>
    <w:p>
      <w:pPr>
        <w:pStyle w:val="Heading2"/>
      </w:pPr>
      <w:r>
        <w:t xml:space="preserve">3. Human Oversight Framework</w:t>
      </w:r>
    </w:p>
    <w:p>
      <w:pPr>
        <w:pStyle w:val="FirstParagraph"/>
      </w:pPr>
      <w:r>
        <w:t xml:space="preserve">Human-in-the-loop requirements for high-risk outputs:</w:t>
      </w:r>
    </w:p>
    <w:p>
      <w:pPr>
        <w:pStyle w:val="Compact"/>
        <w:numPr>
          <w:ilvl w:val="0"/>
          <w:numId w:val="1003"/>
        </w:numPr>
      </w:pPr>
      <w:r>
        <w:t xml:space="preserve">identifiable responsible role,</w:t>
      </w:r>
    </w:p>
    <w:p>
      <w:pPr>
        <w:pStyle w:val="Compact"/>
        <w:numPr>
          <w:ilvl w:val="0"/>
          <w:numId w:val="1003"/>
        </w:numPr>
      </w:pPr>
      <w:r>
        <w:t xml:space="preserve">approval requirement for severe interventions,</w:t>
      </w:r>
    </w:p>
    <w:p>
      <w:pPr>
        <w:pStyle w:val="Compact"/>
        <w:numPr>
          <w:ilvl w:val="0"/>
          <w:numId w:val="1003"/>
        </w:numPr>
      </w:pPr>
      <w:r>
        <w:t xml:space="preserve">mandatory override reason logging,</w:t>
      </w:r>
    </w:p>
    <w:p>
      <w:pPr>
        <w:pStyle w:val="Compact"/>
        <w:numPr>
          <w:ilvl w:val="0"/>
          <w:numId w:val="1003"/>
        </w:numPr>
      </w:pPr>
      <w:r>
        <w:t xml:space="preserve">periodic override review.</w:t>
      </w:r>
    </w:p>
    <w:p>
      <w:pPr>
        <w:pStyle w:val="FirstParagraph"/>
      </w:pPr>
      <w:r>
        <w:t xml:space="preserve">This creates an accountable chain between machine signal and clinical action.</w:t>
      </w:r>
    </w:p>
    <w:bookmarkEnd w:id="17"/>
    <w:bookmarkStart w:id="22" w:name="validation-framework"/>
    <w:p>
      <w:pPr>
        <w:pStyle w:val="Heading2"/>
      </w:pPr>
      <w:r>
        <w:t xml:space="preserve">4. Validation Framework</w:t>
      </w:r>
    </w:p>
    <w:bookmarkStart w:id="18" w:name="stage-1-retrospective-offline"/>
    <w:p>
      <w:pPr>
        <w:pStyle w:val="Heading3"/>
      </w:pPr>
      <w:r>
        <w:t xml:space="preserve">Stage 1: Retrospective offline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4"/>
        </w:numPr>
      </w:pPr>
      <w:r>
        <w:t xml:space="preserve">benchmark sensitivity/specificity/PPV/NPV,</w:t>
      </w:r>
    </w:p>
    <w:p>
      <w:pPr>
        <w:pStyle w:val="Compact"/>
        <w:numPr>
          <w:ilvl w:val="0"/>
          <w:numId w:val="1004"/>
        </w:numPr>
      </w:pPr>
      <w:r>
        <w:t xml:space="preserve">calibrate thresholds,</w:t>
      </w:r>
    </w:p>
    <w:p>
      <w:pPr>
        <w:pStyle w:val="Compact"/>
        <w:numPr>
          <w:ilvl w:val="0"/>
          <w:numId w:val="1004"/>
        </w:numPr>
      </w:pPr>
      <w:r>
        <w:t xml:space="preserve">evaluate subgroup consistency.</w:t>
      </w:r>
    </w:p>
    <w:bookmarkEnd w:id="18"/>
    <w:bookmarkStart w:id="19" w:name="stage-2-silent-prospective"/>
    <w:p>
      <w:pPr>
        <w:pStyle w:val="Heading3"/>
      </w:pPr>
      <w:r>
        <w:t xml:space="preserve">Stage 2: Silent prospective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measure real workflow burden,</w:t>
      </w:r>
    </w:p>
    <w:p>
      <w:pPr>
        <w:pStyle w:val="Compact"/>
        <w:numPr>
          <w:ilvl w:val="0"/>
          <w:numId w:val="1005"/>
        </w:numPr>
      </w:pPr>
      <w:r>
        <w:t xml:space="preserve">compare signal timing against actual action timing,</w:t>
      </w:r>
    </w:p>
    <w:p>
      <w:pPr>
        <w:pStyle w:val="Compact"/>
        <w:numPr>
          <w:ilvl w:val="0"/>
          <w:numId w:val="1005"/>
        </w:numPr>
      </w:pPr>
      <w:r>
        <w:t xml:space="preserve">estimate false-positive operational cost.</w:t>
      </w:r>
    </w:p>
    <w:bookmarkEnd w:id="19"/>
    <w:bookmarkStart w:id="20" w:name="stage-3-controlled-live-pilot"/>
    <w:p>
      <w:pPr>
        <w:pStyle w:val="Heading3"/>
      </w:pPr>
      <w:r>
        <w:t xml:space="preserve">Stage 3: Controlled live pilot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6"/>
        </w:numPr>
      </w:pPr>
      <w:r>
        <w:t xml:space="preserve">limited scope activation,</w:t>
      </w:r>
    </w:p>
    <w:p>
      <w:pPr>
        <w:pStyle w:val="Compact"/>
        <w:numPr>
          <w:ilvl w:val="0"/>
          <w:numId w:val="1006"/>
        </w:numPr>
      </w:pPr>
      <w:r>
        <w:t xml:space="preserve">mandatory review for severe alerts,</w:t>
      </w:r>
    </w:p>
    <w:p>
      <w:pPr>
        <w:pStyle w:val="Compact"/>
        <w:numPr>
          <w:ilvl w:val="0"/>
          <w:numId w:val="1006"/>
        </w:numPr>
      </w:pPr>
      <w:r>
        <w:t xml:space="preserve">weekly governance board adjudication.</w:t>
      </w:r>
    </w:p>
    <w:bookmarkEnd w:id="20"/>
    <w:bookmarkStart w:id="21" w:name="stage-4-scale-up"/>
    <w:p>
      <w:pPr>
        <w:pStyle w:val="Heading3"/>
      </w:pPr>
      <w:r>
        <w:t xml:space="preserve">Stage 4: Scale-up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7"/>
        </w:numPr>
      </w:pPr>
      <w:r>
        <w:t xml:space="preserve">multi-unit transferability checks,</w:t>
      </w:r>
    </w:p>
    <w:p>
      <w:pPr>
        <w:pStyle w:val="Compact"/>
        <w:numPr>
          <w:ilvl w:val="0"/>
          <w:numId w:val="1007"/>
        </w:numPr>
      </w:pPr>
      <w:r>
        <w:t xml:space="preserve">drift and fairness monitoring,</w:t>
      </w:r>
    </w:p>
    <w:p>
      <w:pPr>
        <w:pStyle w:val="Compact"/>
        <w:numPr>
          <w:ilvl w:val="0"/>
          <w:numId w:val="1007"/>
        </w:numPr>
      </w:pPr>
      <w:r>
        <w:t xml:space="preserve">policy adaptation without governance fragmentation.</w:t>
      </w:r>
    </w:p>
    <w:bookmarkEnd w:id="21"/>
    <w:bookmarkEnd w:id="22"/>
    <w:bookmarkStart w:id="23" w:name="minimum-safety-control-set"/>
    <w:p>
      <w:pPr>
        <w:pStyle w:val="Heading2"/>
      </w:pPr>
      <w:r>
        <w:t xml:space="preserve">5. Minimum Safety Control Set</w:t>
      </w:r>
    </w:p>
    <w:p>
      <w:pPr>
        <w:pStyle w:val="FirstParagraph"/>
      </w:pPr>
      <w:r>
        <w:t xml:space="preserve">The framework defines non-negotiable controls:</w:t>
      </w:r>
    </w:p>
    <w:p>
      <w:pPr>
        <w:pStyle w:val="Compact"/>
        <w:numPr>
          <w:ilvl w:val="0"/>
          <w:numId w:val="1008"/>
        </w:numPr>
      </w:pPr>
      <w:r>
        <w:t xml:space="preserve">evidence-bearing alerts only,</w:t>
      </w:r>
    </w:p>
    <w:p>
      <w:pPr>
        <w:pStyle w:val="Compact"/>
        <w:numPr>
          <w:ilvl w:val="0"/>
          <w:numId w:val="1008"/>
        </w:numPr>
      </w:pPr>
      <w:r>
        <w:t xml:space="preserve">role and deadline attached to every actionable alert,</w:t>
      </w:r>
    </w:p>
    <w:p>
      <w:pPr>
        <w:pStyle w:val="Compact"/>
        <w:numPr>
          <w:ilvl w:val="0"/>
          <w:numId w:val="1008"/>
        </w:numPr>
      </w:pPr>
      <w:r>
        <w:t xml:space="preserve">closure status tracking,</w:t>
      </w:r>
    </w:p>
    <w:p>
      <w:pPr>
        <w:pStyle w:val="Compact"/>
        <w:numPr>
          <w:ilvl w:val="0"/>
          <w:numId w:val="1008"/>
        </w:numPr>
      </w:pPr>
      <w:r>
        <w:t xml:space="preserve">no-release without validation artifacts,</w:t>
      </w:r>
    </w:p>
    <w:p>
      <w:pPr>
        <w:pStyle w:val="Compact"/>
        <w:numPr>
          <w:ilvl w:val="0"/>
          <w:numId w:val="1008"/>
        </w:numPr>
      </w:pPr>
      <w:r>
        <w:t xml:space="preserve">incident-response playbook linkage.</w:t>
      </w:r>
    </w:p>
    <w:bookmarkEnd w:id="23"/>
    <w:bookmarkStart w:id="24" w:name="governance-metrics"/>
    <w:p>
      <w:pPr>
        <w:pStyle w:val="Heading2"/>
      </w:pPr>
      <w:r>
        <w:t xml:space="preserve">6. Governance Metrics</w:t>
      </w:r>
    </w:p>
    <w:p>
      <w:pPr>
        <w:pStyle w:val="FirstParagraph"/>
      </w:pPr>
      <w:r>
        <w:t xml:space="preserve">Required governance KPI set:</w:t>
      </w:r>
    </w:p>
    <w:p>
      <w:pPr>
        <w:pStyle w:val="Compact"/>
        <w:numPr>
          <w:ilvl w:val="0"/>
          <w:numId w:val="1009"/>
        </w:numPr>
      </w:pPr>
      <w:r>
        <w:t xml:space="preserve">harmful false-positive rate,</w:t>
      </w:r>
    </w:p>
    <w:p>
      <w:pPr>
        <w:pStyle w:val="Compact"/>
        <w:numPr>
          <w:ilvl w:val="0"/>
          <w:numId w:val="1009"/>
        </w:numPr>
      </w:pPr>
      <w:r>
        <w:t xml:space="preserve">override rate and override rationale profile,</w:t>
      </w:r>
    </w:p>
    <w:p>
      <w:pPr>
        <w:pStyle w:val="Compact"/>
        <w:numPr>
          <w:ilvl w:val="0"/>
          <w:numId w:val="1009"/>
        </w:numPr>
      </w:pPr>
      <w:r>
        <w:t xml:space="preserve">no-action-after-alert rate,</w:t>
      </w:r>
    </w:p>
    <w:p>
      <w:pPr>
        <w:pStyle w:val="Compact"/>
        <w:numPr>
          <w:ilvl w:val="0"/>
          <w:numId w:val="1009"/>
        </w:numPr>
      </w:pPr>
      <w:r>
        <w:t xml:space="preserve">closure compliance,</w:t>
      </w:r>
    </w:p>
    <w:p>
      <w:pPr>
        <w:pStyle w:val="Compact"/>
        <w:numPr>
          <w:ilvl w:val="0"/>
          <w:numId w:val="1009"/>
        </w:numPr>
      </w:pPr>
      <w:r>
        <w:t xml:space="preserve">time-to-escalation,</w:t>
      </w:r>
    </w:p>
    <w:p>
      <w:pPr>
        <w:pStyle w:val="Compact"/>
        <w:numPr>
          <w:ilvl w:val="0"/>
          <w:numId w:val="1009"/>
        </w:numPr>
      </w:pPr>
      <w:r>
        <w:t xml:space="preserve">policy change impact metrics.</w:t>
      </w:r>
    </w:p>
    <w:bookmarkEnd w:id="24"/>
    <w:bookmarkStart w:id="28" w:name="risks-and-mitigations"/>
    <w:p>
      <w:pPr>
        <w:pStyle w:val="Heading2"/>
      </w:pPr>
      <w:r>
        <w:t xml:space="preserve">7. Risks and Mitigations</w:t>
      </w:r>
    </w:p>
    <w:bookmarkStart w:id="25" w:name="risk-alert-fatigue"/>
    <w:p>
      <w:pPr>
        <w:pStyle w:val="Heading3"/>
      </w:pPr>
      <w:r>
        <w:t xml:space="preserve">Risk: alert fatigue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0"/>
        </w:numPr>
      </w:pPr>
      <w:r>
        <w:t xml:space="preserve">precision-first thresholding,</w:t>
      </w:r>
    </w:p>
    <w:p>
      <w:pPr>
        <w:pStyle w:val="Compact"/>
        <w:numPr>
          <w:ilvl w:val="0"/>
          <w:numId w:val="1010"/>
        </w:numPr>
      </w:pPr>
      <w:r>
        <w:t xml:space="preserve">suppression policies,</w:t>
      </w:r>
    </w:p>
    <w:p>
      <w:pPr>
        <w:pStyle w:val="Compact"/>
        <w:numPr>
          <w:ilvl w:val="0"/>
          <w:numId w:val="1010"/>
        </w:numPr>
      </w:pPr>
      <w:r>
        <w:t xml:space="preserve">burden tracking in silent mode.</w:t>
      </w:r>
    </w:p>
    <w:bookmarkEnd w:id="25"/>
    <w:bookmarkStart w:id="26" w:name="risk-workflow-misfit"/>
    <w:p>
      <w:pPr>
        <w:pStyle w:val="Heading3"/>
      </w:pPr>
      <w:r>
        <w:t xml:space="preserve">Risk: workflow misfit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1"/>
        </w:numPr>
      </w:pPr>
      <w:r>
        <w:t xml:space="preserve">role-specific delivery,</w:t>
      </w:r>
    </w:p>
    <w:p>
      <w:pPr>
        <w:pStyle w:val="Compact"/>
        <w:numPr>
          <w:ilvl w:val="0"/>
          <w:numId w:val="1011"/>
        </w:numPr>
      </w:pPr>
      <w:r>
        <w:t xml:space="preserve">one-click corrective workflows,</w:t>
      </w:r>
    </w:p>
    <w:p>
      <w:pPr>
        <w:pStyle w:val="Compact"/>
        <w:numPr>
          <w:ilvl w:val="0"/>
          <w:numId w:val="1011"/>
        </w:numPr>
      </w:pPr>
      <w:r>
        <w:t xml:space="preserve">iterative local governance calibration.</w:t>
      </w:r>
    </w:p>
    <w:bookmarkEnd w:id="26"/>
    <w:bookmarkStart w:id="27" w:name="risk-unsafe-automation-bias"/>
    <w:p>
      <w:pPr>
        <w:pStyle w:val="Heading3"/>
      </w:pPr>
      <w:r>
        <w:t xml:space="preserve">Risk: unsafe automation bias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2"/>
        </w:numPr>
      </w:pPr>
      <w:r>
        <w:t xml:space="preserve">explainability prompts,</w:t>
      </w:r>
    </w:p>
    <w:p>
      <w:pPr>
        <w:pStyle w:val="Compact"/>
        <w:numPr>
          <w:ilvl w:val="0"/>
          <w:numId w:val="1012"/>
        </w:numPr>
      </w:pPr>
      <w:r>
        <w:t xml:space="preserve">explicit clinician confirmation for high-risk actions,</w:t>
      </w:r>
    </w:p>
    <w:p>
      <w:pPr>
        <w:pStyle w:val="Compact"/>
        <w:numPr>
          <w:ilvl w:val="0"/>
          <w:numId w:val="1012"/>
        </w:numPr>
      </w:pPr>
      <w:r>
        <w:t xml:space="preserve">override and dissent channels.</w:t>
      </w:r>
    </w:p>
    <w:bookmarkEnd w:id="27"/>
    <w:bookmarkEnd w:id="28"/>
    <w:bookmarkStart w:id="29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t xml:space="preserve">Governance-first design is not a regulatory afterthought; it is a safety mechanism. By embedding policy state, escalation rules, and validation reporting into runtime operations, the framework improves both trustworthiness and practical deployability.</w:t>
      </w:r>
    </w:p>
    <w:bookmarkEnd w:id="29"/>
    <w:bookmarkStart w:id="30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A structured governance-validation framework is essential for safe translation of real-time patient safety intelligence. The blueprint provides a practical architecture for responsible deployment that can scale while preserving human accountability.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2026-03-07T17:06:37Z</dcterms:created>
  <dcterms:modified xsi:type="dcterms:W3CDTF">2026-03-07T17:06:37Z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