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[Date]</w:t>
      </w:r>
    </w:p>
    <w:p>
      <w:pPr>
        <w:pStyle w:val="BodyText"/>
      </w:pPr>
      <w:r>
        <w:t xml:space="preserve">Editor-in-Chief</w:t>
      </w:r>
      <w:r>
        <w:br/>
      </w:r>
      <w:r>
        <w:t xml:space="preserve">npj Digital Medicine</w:t>
      </w:r>
      <w:r>
        <w:br/>
      </w:r>
      <w:r>
        <w:t xml:space="preserve">Nature Portfolio</w:t>
      </w:r>
    </w:p>
    <w:p>
      <w:pPr>
        <w:pStyle w:val="BodyText"/>
      </w:pPr>
      <w:r>
        <w:t xml:space="preserve">Subject: Submission of original Article manuscript -</w:t>
      </w:r>
      <w:r>
        <w:t xml:space="preserve"> </w:t>
      </w:r>
      <w:r>
        <w:t xml:space="preserve">“SentinelCare: Multidomain Patient Safety Intelligence for Real-Time Clinical Risk Control”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find attached our manuscript entitled</w:t>
      </w:r>
      <w:r>
        <w:t xml:space="preserve"> </w:t>
      </w:r>
      <w:r>
        <w:t xml:space="preserve">“SentinelCare: Multidomain Patient Safety Intelligence for Real-Time Clinical Risk Control”</w:t>
      </w:r>
      <w:r>
        <w:t xml:space="preserve"> </w:t>
      </w:r>
      <w:r>
        <w:t xml:space="preserve">for consideration as an Article in npj Digital Medicine.</w:t>
      </w:r>
    </w:p>
    <w:p>
      <w:pPr>
        <w:pStyle w:val="BodyText"/>
      </w:pPr>
      <w:r>
        <w:t xml:space="preserve">This manuscript presents the conceptual and translational implementation framework of SentinelCare, a modular patient-safety intelligence platform designed for real-time risk detection, accountable escalation, and closed-loop workflow support across medication safety, critical-result follow-up, and deterioration surveillance domains.</w:t>
      </w:r>
    </w:p>
    <w:p>
      <w:pPr>
        <w:pStyle w:val="BodyText"/>
      </w:pPr>
      <w:r>
        <w:t xml:space="preserve">The work is relevant to npj Digital Medicine readership because it addresses practical deployment barriers at the intersection of digital health engineering, clinical workflow integration, and governance-first safety implementation. The manuscript emphasizes:</w:t>
      </w:r>
    </w:p>
    <w:p>
      <w:pPr>
        <w:pStyle w:val="Compact"/>
        <w:numPr>
          <w:ilvl w:val="0"/>
          <w:numId w:val="1001"/>
        </w:numPr>
      </w:pPr>
      <w:r>
        <w:t xml:space="preserve">multidomain safety system design rather than single-model prediction,</w:t>
      </w:r>
    </w:p>
    <w:p>
      <w:pPr>
        <w:pStyle w:val="Compact"/>
        <w:numPr>
          <w:ilvl w:val="0"/>
          <w:numId w:val="1001"/>
        </w:numPr>
      </w:pPr>
      <w:r>
        <w:t xml:space="preserve">explicit human-in-the-loop controls,</w:t>
      </w:r>
    </w:p>
    <w:p>
      <w:pPr>
        <w:pStyle w:val="Compact"/>
        <w:numPr>
          <w:ilvl w:val="0"/>
          <w:numId w:val="1001"/>
        </w:numPr>
      </w:pPr>
      <w:r>
        <w:t xml:space="preserve">queue/escalation operationalization,</w:t>
      </w:r>
    </w:p>
    <w:p>
      <w:pPr>
        <w:pStyle w:val="Compact"/>
        <w:numPr>
          <w:ilvl w:val="0"/>
          <w:numId w:val="1001"/>
        </w:numPr>
      </w:pPr>
      <w:r>
        <w:t xml:space="preserve">policy and validation artifact generation to support responsible deployment.</w:t>
      </w:r>
    </w:p>
    <w:p>
      <w:pPr>
        <w:pStyle w:val="FirstParagraph"/>
      </w:pPr>
      <w:r>
        <w:t xml:space="preserve">To our knowledge, this integrated architecture and staged validation framing provide a useful translational template for healthcare organizations seeking to implement real-time safety intelligence under evolving regulatory and quality expectations.</w:t>
      </w:r>
    </w:p>
    <w:p>
      <w:pPr>
        <w:pStyle w:val="BodyText"/>
      </w:pPr>
      <w:r>
        <w:t xml:space="preserve">This manuscript is original, has not been published previously, and is not under consideration elsewhere. All authors have approved submission.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br/>
      </w:r>
      <w:r>
        <w:t xml:space="preserve">[Corresponding Author Name]</w:t>
      </w:r>
      <w:r>
        <w:br/>
      </w:r>
      <w:r>
        <w:t xml:space="preserve">[Institution]</w:t>
      </w:r>
      <w:r>
        <w:br/>
      </w:r>
      <w:r>
        <w:t xml:space="preserve">[Email]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2026-03-07T16:54:13Z</dcterms:created>
  <dcterms:modified xsi:type="dcterms:W3CDTF">2026-03-07T16:54:13Z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