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2aa2713a6a98ceb0289b38c8bce78767eaefd4"/>
    <w:p>
      <w:pPr>
        <w:pStyle w:val="Heading1"/>
      </w:pPr>
      <w:r>
        <w:t xml:space="preserve">Target Journal Selection: npj Digital Medicine</w:t>
      </w:r>
    </w:p>
    <w:bookmarkStart w:id="9" w:name="selected-journal"/>
    <w:p>
      <w:pPr>
        <w:pStyle w:val="Heading2"/>
      </w:pPr>
      <w:r>
        <w:t xml:space="preserve">Selected journal</w:t>
      </w:r>
    </w:p>
    <w:p>
      <w:pPr>
        <w:pStyle w:val="FirstParagraph"/>
      </w:pPr>
      <w:r>
        <w:t xml:space="preserve">npj Digital Medicine (Nature Portfolio)</w:t>
      </w:r>
    </w:p>
    <w:p>
      <w:pPr>
        <w:pStyle w:val="BodyText"/>
      </w:pPr>
      <w:r>
        <w:t xml:space="preserve">Journal page: https://www.nature.com/npjdigitalmed/</w:t>
      </w:r>
    </w:p>
    <w:bookmarkEnd w:id="9"/>
    <w:bookmarkStart w:id="10" w:name="why-this-journal-fits-sentinelcare"/>
    <w:p>
      <w:pPr>
        <w:pStyle w:val="Heading2"/>
      </w:pPr>
      <w:r>
        <w:t xml:space="preserve">Why this journal fits SentinelCare</w:t>
      </w:r>
    </w:p>
    <w:p>
      <w:pPr>
        <w:pStyle w:val="Compact"/>
        <w:numPr>
          <w:ilvl w:val="0"/>
          <w:numId w:val="1001"/>
        </w:numPr>
      </w:pPr>
      <w:r>
        <w:t xml:space="preserve">Scope alignment:</w:t>
      </w:r>
    </w:p>
    <w:p>
      <w:pPr>
        <w:pStyle w:val="Compact"/>
        <w:numPr>
          <w:ilvl w:val="1"/>
          <w:numId w:val="1002"/>
        </w:numPr>
      </w:pPr>
      <w:r>
        <w:t xml:space="preserve">digital health systems</w:t>
      </w:r>
    </w:p>
    <w:p>
      <w:pPr>
        <w:pStyle w:val="Compact"/>
        <w:numPr>
          <w:ilvl w:val="1"/>
          <w:numId w:val="1002"/>
        </w:numPr>
      </w:pPr>
      <w:r>
        <w:t xml:space="preserve">AI/CDS in clinical workflow</w:t>
      </w:r>
    </w:p>
    <w:p>
      <w:pPr>
        <w:pStyle w:val="Compact"/>
        <w:numPr>
          <w:ilvl w:val="1"/>
          <w:numId w:val="1002"/>
        </w:numPr>
      </w:pPr>
      <w:r>
        <w:t xml:space="preserve">implementation and validation studies</w:t>
      </w:r>
    </w:p>
    <w:p>
      <w:pPr>
        <w:pStyle w:val="Compact"/>
        <w:numPr>
          <w:ilvl w:val="0"/>
          <w:numId w:val="1001"/>
        </w:numPr>
      </w:pPr>
      <w:r>
        <w:t xml:space="preserve">Audience alignment:</w:t>
      </w:r>
    </w:p>
    <w:p>
      <w:pPr>
        <w:pStyle w:val="Compact"/>
        <w:numPr>
          <w:ilvl w:val="1"/>
          <w:numId w:val="1003"/>
        </w:numPr>
      </w:pPr>
      <w:r>
        <w:t xml:space="preserve">clinical informatics</w:t>
      </w:r>
    </w:p>
    <w:p>
      <w:pPr>
        <w:pStyle w:val="Compact"/>
        <w:numPr>
          <w:ilvl w:val="1"/>
          <w:numId w:val="1003"/>
        </w:numPr>
      </w:pPr>
      <w:r>
        <w:t xml:space="preserve">digital medicine researchers</w:t>
      </w:r>
    </w:p>
    <w:p>
      <w:pPr>
        <w:pStyle w:val="Compact"/>
        <w:numPr>
          <w:ilvl w:val="1"/>
          <w:numId w:val="1003"/>
        </w:numPr>
      </w:pPr>
      <w:r>
        <w:t xml:space="preserve">translational deployment teams</w:t>
      </w:r>
    </w:p>
    <w:p>
      <w:pPr>
        <w:pStyle w:val="Compact"/>
        <w:numPr>
          <w:ilvl w:val="0"/>
          <w:numId w:val="1001"/>
        </w:numPr>
      </w:pPr>
      <w:r>
        <w:t xml:space="preserve">Article type fit:</w:t>
      </w:r>
    </w:p>
    <w:p>
      <w:pPr>
        <w:pStyle w:val="Compact"/>
        <w:numPr>
          <w:ilvl w:val="1"/>
          <w:numId w:val="1004"/>
        </w:numPr>
      </w:pPr>
      <w:r>
        <w:t xml:space="preserve">“Article”</w:t>
      </w:r>
      <w:r>
        <w:t xml:space="preserve"> </w:t>
      </w:r>
      <w:r>
        <w:t xml:space="preserve">category accepts substantial primary work and systematic/scoping evidence syntheses relevant to digital medicine.</w:t>
      </w:r>
    </w:p>
    <w:bookmarkEnd w:id="10"/>
    <w:bookmarkStart w:id="11" w:name="Xfa9aa4a94fce24d35ececb0aaa2e7e5a006bf6d"/>
    <w:p>
      <w:pPr>
        <w:pStyle w:val="Heading2"/>
      </w:pPr>
      <w:r>
        <w:t xml:space="preserve">Key formatting requirements used for this package</w:t>
      </w:r>
    </w:p>
    <w:p>
      <w:pPr>
        <w:pStyle w:val="FirstParagraph"/>
      </w:pPr>
      <w:r>
        <w:t xml:space="preserve">Primary source:</w:t>
      </w:r>
      <w:r>
        <w:br/>
      </w:r>
      <w:r>
        <w:t xml:space="preserve">https://www.nature.com/npjdigitalmed/for-authors-and-referees/about/content-types</w:t>
      </w:r>
    </w:p>
    <w:p>
      <w:pPr>
        <w:pStyle w:val="BodyText"/>
      </w:pPr>
      <w:r>
        <w:t xml:space="preserve">For</w:t>
      </w:r>
      <w:r>
        <w:t xml:space="preserve"> </w:t>
      </w:r>
      <w:r>
        <w:t xml:space="preserve">“Article”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Title page:</w:t>
      </w:r>
    </w:p>
    <w:p>
      <w:pPr>
        <w:pStyle w:val="Compact"/>
        <w:numPr>
          <w:ilvl w:val="1"/>
          <w:numId w:val="1006"/>
        </w:numPr>
      </w:pPr>
      <w:r>
        <w:t xml:space="preserve">title up to 15 words</w:t>
      </w:r>
    </w:p>
    <w:p>
      <w:pPr>
        <w:pStyle w:val="Compact"/>
        <w:numPr>
          <w:ilvl w:val="1"/>
          <w:numId w:val="1006"/>
        </w:numPr>
      </w:pPr>
      <w:r>
        <w:t xml:space="preserve">full authors and affiliations</w:t>
      </w:r>
    </w:p>
    <w:p>
      <w:pPr>
        <w:pStyle w:val="Compact"/>
        <w:numPr>
          <w:ilvl w:val="1"/>
          <w:numId w:val="1006"/>
        </w:numPr>
      </w:pPr>
      <w:r>
        <w:t xml:space="preserve">corresponding email</w:t>
      </w:r>
    </w:p>
    <w:p>
      <w:pPr>
        <w:pStyle w:val="Compact"/>
        <w:numPr>
          <w:ilvl w:val="0"/>
          <w:numId w:val="1005"/>
        </w:numPr>
      </w:pPr>
      <w:r>
        <w:t xml:space="preserve">Abstract:</w:t>
      </w:r>
    </w:p>
    <w:p>
      <w:pPr>
        <w:pStyle w:val="Compact"/>
        <w:numPr>
          <w:ilvl w:val="1"/>
          <w:numId w:val="1007"/>
        </w:numPr>
      </w:pPr>
      <w:r>
        <w:t xml:space="preserve">no subheadings</w:t>
      </w:r>
    </w:p>
    <w:p>
      <w:pPr>
        <w:pStyle w:val="Compact"/>
        <w:numPr>
          <w:ilvl w:val="1"/>
          <w:numId w:val="1007"/>
        </w:numPr>
      </w:pPr>
      <w:r>
        <w:t xml:space="preserve">up to 150 words</w:t>
      </w:r>
    </w:p>
    <w:p>
      <w:pPr>
        <w:pStyle w:val="Compact"/>
        <w:numPr>
          <w:ilvl w:val="0"/>
          <w:numId w:val="1005"/>
        </w:numPr>
      </w:pPr>
      <w:r>
        <w:t xml:space="preserve">Required sections:</w:t>
      </w:r>
    </w:p>
    <w:p>
      <w:pPr>
        <w:pStyle w:val="Compact"/>
        <w:numPr>
          <w:ilvl w:val="1"/>
          <w:numId w:val="1008"/>
        </w:numPr>
      </w:pPr>
      <w:r>
        <w:t xml:space="preserve">Introduction</w:t>
      </w:r>
    </w:p>
    <w:p>
      <w:pPr>
        <w:pStyle w:val="Compact"/>
        <w:numPr>
          <w:ilvl w:val="1"/>
          <w:numId w:val="1008"/>
        </w:numPr>
      </w:pPr>
      <w:r>
        <w:t xml:space="preserve">Results</w:t>
      </w:r>
    </w:p>
    <w:p>
      <w:pPr>
        <w:pStyle w:val="Compact"/>
        <w:numPr>
          <w:ilvl w:val="1"/>
          <w:numId w:val="1008"/>
        </w:numPr>
      </w:pPr>
      <w:r>
        <w:t xml:space="preserve">Discussion</w:t>
      </w:r>
    </w:p>
    <w:p>
      <w:pPr>
        <w:pStyle w:val="Compact"/>
        <w:numPr>
          <w:ilvl w:val="1"/>
          <w:numId w:val="1008"/>
        </w:numPr>
      </w:pPr>
      <w:r>
        <w:t xml:space="preserve">Methods</w:t>
      </w:r>
    </w:p>
    <w:p>
      <w:pPr>
        <w:pStyle w:val="Compact"/>
        <w:numPr>
          <w:ilvl w:val="1"/>
          <w:numId w:val="1008"/>
        </w:numPr>
      </w:pPr>
      <w:r>
        <w:t xml:space="preserve">Data Availability (mandatory)</w:t>
      </w:r>
    </w:p>
    <w:p>
      <w:pPr>
        <w:pStyle w:val="Compact"/>
        <w:numPr>
          <w:ilvl w:val="1"/>
          <w:numId w:val="1008"/>
        </w:numPr>
      </w:pPr>
      <w:r>
        <w:t xml:space="preserve">Code Availability (where applicable)</w:t>
      </w:r>
    </w:p>
    <w:p>
      <w:pPr>
        <w:pStyle w:val="Compact"/>
        <w:numPr>
          <w:ilvl w:val="1"/>
          <w:numId w:val="1008"/>
        </w:numPr>
      </w:pPr>
      <w:r>
        <w:t xml:space="preserve">Acknowledgements</w:t>
      </w:r>
    </w:p>
    <w:p>
      <w:pPr>
        <w:pStyle w:val="Compact"/>
        <w:numPr>
          <w:ilvl w:val="1"/>
          <w:numId w:val="1008"/>
        </w:numPr>
      </w:pPr>
      <w:r>
        <w:t xml:space="preserve">Author contributions</w:t>
      </w:r>
    </w:p>
    <w:p>
      <w:pPr>
        <w:pStyle w:val="Compact"/>
        <w:numPr>
          <w:ilvl w:val="1"/>
          <w:numId w:val="1008"/>
        </w:numPr>
      </w:pPr>
      <w:r>
        <w:t xml:space="preserve">Competing interests</w:t>
      </w:r>
    </w:p>
    <w:p>
      <w:pPr>
        <w:pStyle w:val="Compact"/>
        <w:numPr>
          <w:ilvl w:val="0"/>
          <w:numId w:val="1005"/>
        </w:numPr>
      </w:pPr>
      <w:r>
        <w:t xml:space="preserve">References:</w:t>
      </w:r>
    </w:p>
    <w:p>
      <w:pPr>
        <w:pStyle w:val="Compact"/>
        <w:numPr>
          <w:ilvl w:val="1"/>
          <w:numId w:val="1009"/>
        </w:numPr>
      </w:pPr>
      <w:r>
        <w:t xml:space="preserve">limited to 60 (not strictly enforced)</w:t>
      </w:r>
    </w:p>
    <w:p>
      <w:pPr>
        <w:pStyle w:val="FirstParagraph"/>
      </w:pPr>
      <w:r>
        <w:t xml:space="preserve">Submission guidance source:</w:t>
      </w:r>
      <w:r>
        <w:br/>
      </w:r>
      <w:r>
        <w:t xml:space="preserve">https://www.nature.com/npjdigitalmed/for-authors-and-referees/submission-guidelines</w:t>
      </w:r>
    </w:p>
    <w:p>
      <w:pPr>
        <w:pStyle w:val="BodyText"/>
      </w:pPr>
      <w:r>
        <w:t xml:space="preserve">Notable requirements captured:</w:t>
      </w:r>
    </w:p>
    <w:p>
      <w:pPr>
        <w:pStyle w:val="Compact"/>
        <w:numPr>
          <w:ilvl w:val="0"/>
          <w:numId w:val="1010"/>
        </w:numPr>
      </w:pPr>
      <w:r>
        <w:t xml:space="preserve">Cover letter required.</w:t>
      </w:r>
    </w:p>
    <w:p>
      <w:pPr>
        <w:pStyle w:val="Compact"/>
        <w:numPr>
          <w:ilvl w:val="0"/>
          <w:numId w:val="1010"/>
        </w:numPr>
      </w:pPr>
      <w:r>
        <w:t xml:space="preserve">Reporting summary/editorial checklist needed at peer review stage; encouraged at submission.</w:t>
      </w:r>
    </w:p>
    <w:p>
      <w:pPr>
        <w:pStyle w:val="Compact"/>
        <w:numPr>
          <w:ilvl w:val="0"/>
          <w:numId w:val="1010"/>
        </w:numPr>
      </w:pPr>
      <w:r>
        <w:t xml:space="preserve">Data availability statement required.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2026-03-07T16:54:13Z</dcterms:created>
  <dcterms:modified xsi:type="dcterms:W3CDTF">2026-03-07T16:54:13Z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