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df2e4f01d6f2ed94fc7858334819984c678437"/>
    <w:p>
      <w:pPr>
        <w:pStyle w:val="Heading1"/>
      </w:pPr>
      <w:r>
        <w:t xml:space="preserve">SentinelCare: Multidomain Patient Safety Intelligence for Real-Time Clinical Risk Control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Preventable harm persists across medication management, critical test-result follow-up, and deterioration recognition because safety signals remain fragmented and workflow closure is inconsistent. We developed SentinelCare, a modular patient safety intelligence platform designed for real-time event monitoring, risk detection, accountable escalation, and closed-loop review. SentinelCare integrates three pilot domains: medication safety, critical-result closure, and deterioration surveillance. The implementation combines event-driven ingestion, deterministic safety engines, multi-agent orchestration (roles A-H), role-based routing, queue-based escalation, policy lifecycle controls, and validation reporting. In demonstration runs, the system produced traceable alerts with evidence payloads, role assignment, and review-action capture while maintaining governance artifacts (policy version states and validation outputs). SentinelCare is intended as a human-in-the-loop safety layer rather than autonomous clinical decision authority. This work presents architecture and translational protocol readiness for retrospective benchmarking, silent prospective deployment, and controlled live pilot evaluation.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Patient safety events frequently arise from omissions, delayed responses, communication failures, and unresolved follow-up loops. Global and national safety agendas emphasize system-level controls, accountability, and learning infrastructure rather than isolated interventions. In parallel, clinical decision support and AI governance guidance increasingly require transparency, provenance, and oversight in operational deployments.</w:t>
      </w:r>
    </w:p>
    <w:p>
      <w:pPr>
        <w:pStyle w:val="BodyText"/>
      </w:pPr>
      <w:r>
        <w:t xml:space="preserve">Existing tools often address narrow use-cases (for example, single-condition prediction) without integrating workflow closure, escalation ownership, and validation feedback. SentinelCare was designed to address this gap with a modular safety platform focused on near-term high-value domains: medication safety, critical-result closure, and deterioration surveillance.</w:t>
      </w:r>
    </w:p>
    <w:p>
      <w:pPr>
        <w:pStyle w:val="BodyText"/>
      </w:pPr>
      <w:r>
        <w:t xml:space="preserve">This manuscript reports the conceptual and technical implementation basis for SentinelCare as a translational digital medicine system intended for staged clinical validation.</w:t>
      </w:r>
    </w:p>
    <w:bookmarkEnd w:id="10"/>
    <w:bookmarkStart w:id="15" w:name="results"/>
    <w:p>
      <w:pPr>
        <w:pStyle w:val="Heading2"/>
      </w:pPr>
      <w:r>
        <w:t xml:space="preserve">Results</w:t>
      </w:r>
    </w:p>
    <w:bookmarkStart w:id="11" w:name="X4eec192a46f07f71315e8fb34c3491d2984c4fb"/>
    <w:p>
      <w:pPr>
        <w:pStyle w:val="Heading3"/>
      </w:pPr>
      <w:r>
        <w:t xml:space="preserve">System architecture and operational layers</w:t>
      </w:r>
    </w:p>
    <w:p>
      <w:pPr>
        <w:pStyle w:val="FirstParagraph"/>
      </w:pPr>
      <w:r>
        <w:t xml:space="preserve">SentinelCare is implemented as an event-driven, modular architecture with explicit separation of:</w:t>
      </w:r>
    </w:p>
    <w:p>
      <w:pPr>
        <w:pStyle w:val="Compact"/>
        <w:numPr>
          <w:ilvl w:val="0"/>
          <w:numId w:val="1001"/>
        </w:numPr>
      </w:pPr>
      <w:r>
        <w:t xml:space="preserve">ingestion and normalization,</w:t>
      </w:r>
    </w:p>
    <w:p>
      <w:pPr>
        <w:pStyle w:val="Compact"/>
        <w:numPr>
          <w:ilvl w:val="0"/>
          <w:numId w:val="1001"/>
        </w:numPr>
      </w:pPr>
      <w:r>
        <w:t xml:space="preserve">safety detection,</w:t>
      </w:r>
    </w:p>
    <w:p>
      <w:pPr>
        <w:pStyle w:val="Compact"/>
        <w:numPr>
          <w:ilvl w:val="0"/>
          <w:numId w:val="1001"/>
        </w:numPr>
      </w:pPr>
      <w:r>
        <w:t xml:space="preserve">intervention routing,</w:t>
      </w:r>
    </w:p>
    <w:p>
      <w:pPr>
        <w:pStyle w:val="Compact"/>
        <w:numPr>
          <w:ilvl w:val="0"/>
          <w:numId w:val="1001"/>
        </w:numPr>
      </w:pPr>
      <w:r>
        <w:t xml:space="preserve">governance and validation reporting.</w:t>
      </w:r>
    </w:p>
    <w:p>
      <w:pPr>
        <w:pStyle w:val="FirstParagraph"/>
      </w:pPr>
      <w:r>
        <w:t xml:space="preserve">Three pilot safety engines are implemented:</w:t>
      </w:r>
    </w:p>
    <w:p>
      <w:pPr>
        <w:pStyle w:val="Compact"/>
        <w:numPr>
          <w:ilvl w:val="0"/>
          <w:numId w:val="1002"/>
        </w:numPr>
      </w:pPr>
      <w:r>
        <w:t xml:space="preserve">medication contraindication/dose/duplication/omission checks,</w:t>
      </w:r>
    </w:p>
    <w:p>
      <w:pPr>
        <w:pStyle w:val="Compact"/>
        <w:numPr>
          <w:ilvl w:val="0"/>
          <w:numId w:val="1002"/>
        </w:numPr>
      </w:pPr>
      <w:r>
        <w:t xml:space="preserve">critical result acknowledgment and post-discharge closure checks,</w:t>
      </w:r>
    </w:p>
    <w:p>
      <w:pPr>
        <w:pStyle w:val="Compact"/>
        <w:numPr>
          <w:ilvl w:val="0"/>
          <w:numId w:val="1002"/>
        </w:numPr>
      </w:pPr>
      <w:r>
        <w:t xml:space="preserve">deterioration and sepsis-bundle deviation surveillance.</w:t>
      </w:r>
    </w:p>
    <w:bookmarkEnd w:id="11"/>
    <w:bookmarkStart w:id="12" w:name="Xe34487ce10461977a01f2fcd72a521d057433a5"/>
    <w:p>
      <w:pPr>
        <w:pStyle w:val="Heading3"/>
      </w:pPr>
      <w:r>
        <w:t xml:space="preserve">Multi-agent orchestration and traceability</w:t>
      </w:r>
    </w:p>
    <w:p>
      <w:pPr>
        <w:pStyle w:val="FirstParagraph"/>
      </w:pPr>
      <w:r>
        <w:t xml:space="preserve">The platform executes a staged multi-agent chain (A-H), where each agent contributes designated tasks to a traceable execution log:</w:t>
      </w:r>
    </w:p>
    <w:p>
      <w:pPr>
        <w:pStyle w:val="Compact"/>
        <w:numPr>
          <w:ilvl w:val="0"/>
          <w:numId w:val="1003"/>
        </w:numPr>
      </w:pPr>
      <w:r>
        <w:t xml:space="preserve">scope and policy context,</w:t>
      </w:r>
    </w:p>
    <w:p>
      <w:pPr>
        <w:pStyle w:val="Compact"/>
        <w:numPr>
          <w:ilvl w:val="0"/>
          <w:numId w:val="1003"/>
        </w:numPr>
      </w:pPr>
      <w:r>
        <w:t xml:space="preserve">normalization and mapping,</w:t>
      </w:r>
    </w:p>
    <w:p>
      <w:pPr>
        <w:pStyle w:val="Compact"/>
        <w:numPr>
          <w:ilvl w:val="0"/>
          <w:numId w:val="1003"/>
        </w:numPr>
      </w:pPr>
      <w:r>
        <w:t xml:space="preserve">detection and safety challenge,</w:t>
      </w:r>
    </w:p>
    <w:p>
      <w:pPr>
        <w:pStyle w:val="Compact"/>
        <w:numPr>
          <w:ilvl w:val="0"/>
          <w:numId w:val="1003"/>
        </w:numPr>
      </w:pPr>
      <w:r>
        <w:t xml:space="preserve">routing and escalation analysis,</w:t>
      </w:r>
    </w:p>
    <w:p>
      <w:pPr>
        <w:pStyle w:val="Compact"/>
        <w:numPr>
          <w:ilvl w:val="0"/>
          <w:numId w:val="1003"/>
        </w:numPr>
      </w:pPr>
      <w:r>
        <w:t xml:space="preserve">governance and validation artifact generation.</w:t>
      </w:r>
    </w:p>
    <w:p>
      <w:pPr>
        <w:pStyle w:val="FirstParagraph"/>
      </w:pPr>
      <w:r>
        <w:t xml:space="preserve">This architecture provides explicit process observability for each event.</w:t>
      </w:r>
    </w:p>
    <w:bookmarkEnd w:id="12"/>
    <w:bookmarkStart w:id="13" w:name="intervention-workflow-outputs"/>
    <w:p>
      <w:pPr>
        <w:pStyle w:val="Heading3"/>
      </w:pPr>
      <w:r>
        <w:t xml:space="preserve">Intervention workflow outputs</w:t>
      </w:r>
    </w:p>
    <w:p>
      <w:pPr>
        <w:pStyle w:val="FirstParagraph"/>
      </w:pPr>
      <w:r>
        <w:t xml:space="preserve">For triggered risks, SentinelCare generates:</w:t>
      </w:r>
    </w:p>
    <w:p>
      <w:pPr>
        <w:pStyle w:val="Compact"/>
        <w:numPr>
          <w:ilvl w:val="0"/>
          <w:numId w:val="1004"/>
        </w:numPr>
      </w:pPr>
      <w:r>
        <w:t xml:space="preserve">alert type and severity,</w:t>
      </w:r>
    </w:p>
    <w:p>
      <w:pPr>
        <w:pStyle w:val="Compact"/>
        <w:numPr>
          <w:ilvl w:val="0"/>
          <w:numId w:val="1004"/>
        </w:numPr>
      </w:pPr>
      <w:r>
        <w:t xml:space="preserve">evidence payload,</w:t>
      </w:r>
    </w:p>
    <w:p>
      <w:pPr>
        <w:pStyle w:val="Compact"/>
        <w:numPr>
          <w:ilvl w:val="0"/>
          <w:numId w:val="1004"/>
        </w:numPr>
      </w:pPr>
      <w:r>
        <w:t xml:space="preserve">recommended action,</w:t>
      </w:r>
    </w:p>
    <w:p>
      <w:pPr>
        <w:pStyle w:val="Compact"/>
        <w:numPr>
          <w:ilvl w:val="0"/>
          <w:numId w:val="1004"/>
        </w:numPr>
      </w:pPr>
      <w:r>
        <w:t xml:space="preserve">routed roles,</w:t>
      </w:r>
    </w:p>
    <w:p>
      <w:pPr>
        <w:pStyle w:val="Compact"/>
        <w:numPr>
          <w:ilvl w:val="0"/>
          <w:numId w:val="1004"/>
        </w:numPr>
      </w:pPr>
      <w:r>
        <w:t xml:space="preserve">queue item with due time and escalation level.</w:t>
      </w:r>
    </w:p>
    <w:p>
      <w:pPr>
        <w:pStyle w:val="FirstParagraph"/>
      </w:pPr>
      <w:r>
        <w:t xml:space="preserve">Review actions (acknowledge, resolve, override rationale) are captured and linked back to alerts.</w:t>
      </w:r>
    </w:p>
    <w:bookmarkEnd w:id="13"/>
    <w:bookmarkStart w:id="14" w:name="governance-and-validation-functions"/>
    <w:p>
      <w:pPr>
        <w:pStyle w:val="Heading3"/>
      </w:pPr>
      <w:r>
        <w:t xml:space="preserve">Governance and validation functions</w:t>
      </w:r>
    </w:p>
    <w:p>
      <w:pPr>
        <w:pStyle w:val="FirstParagraph"/>
      </w:pPr>
      <w:r>
        <w:t xml:space="preserve">The implementation includes:</w:t>
      </w:r>
    </w:p>
    <w:p>
      <w:pPr>
        <w:pStyle w:val="Compact"/>
        <w:numPr>
          <w:ilvl w:val="0"/>
          <w:numId w:val="1005"/>
        </w:numPr>
      </w:pPr>
      <w:r>
        <w:t xml:space="preserve">policy submission and approval state transitions,</w:t>
      </w:r>
    </w:p>
    <w:p>
      <w:pPr>
        <w:pStyle w:val="Compact"/>
        <w:numPr>
          <w:ilvl w:val="0"/>
          <w:numId w:val="1005"/>
        </w:numPr>
      </w:pPr>
      <w:r>
        <w:t xml:space="preserve">active/inactive policy version tracking,</w:t>
      </w:r>
    </w:p>
    <w:p>
      <w:pPr>
        <w:pStyle w:val="Compact"/>
        <w:numPr>
          <w:ilvl w:val="0"/>
          <w:numId w:val="1005"/>
        </w:numPr>
      </w:pPr>
      <w:r>
        <w:t xml:space="preserve">validation report generation with operational metrics (closure rate, queue status, urgency distribution).</w:t>
      </w:r>
    </w:p>
    <w:p>
      <w:pPr>
        <w:pStyle w:val="FirstParagraph"/>
      </w:pPr>
      <w:r>
        <w:t xml:space="preserve">These controls support governance-first deployment rather than model-only operation.</w:t>
      </w:r>
    </w:p>
    <w:bookmarkEnd w:id="14"/>
    <w:bookmarkEnd w:id="15"/>
    <w:bookmarkStart w:id="16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SentinelCare should be interpreted as a socio-technical safety control layer, not an autonomous clinical decision-maker. Its primary contribution is integration of detection with accountable workflow and governance artifacts in one operational loop.</w:t>
      </w:r>
    </w:p>
    <w:p>
      <w:pPr>
        <w:pStyle w:val="BodyText"/>
      </w:pPr>
      <w:r>
        <w:t xml:space="preserve">The current stage emphasizes deterministic rule engines to establish high-traceability baseline behavior before broader ML integration. This is consistent with high-reliability deployment principles: introduce transparent controls first, then expand with model complexity under validation and oversight.</w:t>
      </w:r>
    </w:p>
    <w:p>
      <w:pPr>
        <w:pStyle w:val="BodyText"/>
      </w:pPr>
      <w:r>
        <w:t xml:space="preserve">Key strengths include:</w:t>
      </w:r>
    </w:p>
    <w:p>
      <w:pPr>
        <w:pStyle w:val="Compact"/>
        <w:numPr>
          <w:ilvl w:val="0"/>
          <w:numId w:val="1006"/>
        </w:numPr>
      </w:pPr>
      <w:r>
        <w:t xml:space="preserve">multidomain safety scope,</w:t>
      </w:r>
    </w:p>
    <w:p>
      <w:pPr>
        <w:pStyle w:val="Compact"/>
        <w:numPr>
          <w:ilvl w:val="0"/>
          <w:numId w:val="1006"/>
        </w:numPr>
      </w:pPr>
      <w:r>
        <w:t xml:space="preserve">explicit human-in-the-loop closure,</w:t>
      </w:r>
    </w:p>
    <w:p>
      <w:pPr>
        <w:pStyle w:val="Compact"/>
        <w:numPr>
          <w:ilvl w:val="0"/>
          <w:numId w:val="1006"/>
        </w:numPr>
      </w:pPr>
      <w:r>
        <w:t xml:space="preserve">queue and escalation operations,</w:t>
      </w:r>
    </w:p>
    <w:p>
      <w:pPr>
        <w:pStyle w:val="Compact"/>
        <w:numPr>
          <w:ilvl w:val="0"/>
          <w:numId w:val="1006"/>
        </w:numPr>
      </w:pPr>
      <w:r>
        <w:t xml:space="preserve">governance and validation readiness.</w:t>
      </w:r>
    </w:p>
    <w:p>
      <w:pPr>
        <w:pStyle w:val="FirstParagraph"/>
      </w:pPr>
      <w:r>
        <w:t xml:space="preserve">Current limitations include:</w:t>
      </w:r>
    </w:p>
    <w:p>
      <w:pPr>
        <w:pStyle w:val="Compact"/>
        <w:numPr>
          <w:ilvl w:val="0"/>
          <w:numId w:val="1007"/>
        </w:numPr>
      </w:pPr>
      <w:r>
        <w:t xml:space="preserve">limited live interoperability integration in the presented stage,</w:t>
      </w:r>
    </w:p>
    <w:p>
      <w:pPr>
        <w:pStyle w:val="Compact"/>
        <w:numPr>
          <w:ilvl w:val="0"/>
          <w:numId w:val="1007"/>
        </w:numPr>
      </w:pPr>
      <w:r>
        <w:t xml:space="preserve">no completed prospective controlled pilot outcomes yet,</w:t>
      </w:r>
    </w:p>
    <w:p>
      <w:pPr>
        <w:pStyle w:val="Compact"/>
        <w:numPr>
          <w:ilvl w:val="0"/>
          <w:numId w:val="1007"/>
        </w:numPr>
      </w:pPr>
      <w:r>
        <w:t xml:space="preserve">dependence on site-specific calibration and workflow adaptation.</w:t>
      </w:r>
    </w:p>
    <w:p>
      <w:pPr>
        <w:pStyle w:val="FirstParagraph"/>
      </w:pPr>
      <w:r>
        <w:t xml:space="preserve">Future work will focus on FHIR-native ingestion, silent prospective evaluation, and controlled pilot endpoints tied to patient-level and process-level safety outcomes.</w:t>
      </w:r>
    </w:p>
    <w:bookmarkEnd w:id="16"/>
    <w:bookmarkStart w:id="22" w:name="methods"/>
    <w:p>
      <w:pPr>
        <w:pStyle w:val="Heading2"/>
      </w:pPr>
      <w:r>
        <w:t xml:space="preserve">Methods</w:t>
      </w:r>
    </w:p>
    <w:bookmarkStart w:id="17" w:name="design-framework"/>
    <w:p>
      <w:pPr>
        <w:pStyle w:val="Heading3"/>
      </w:pPr>
      <w:r>
        <w:t xml:space="preserve">Design framework</w:t>
      </w:r>
    </w:p>
    <w:p>
      <w:pPr>
        <w:pStyle w:val="FirstParagraph"/>
      </w:pPr>
      <w:r>
        <w:t xml:space="preserve">SentinelCare follows a process-chain safety model:</w:t>
      </w:r>
    </w:p>
    <w:p>
      <w:pPr>
        <w:pStyle w:val="BodyText"/>
      </w:pPr>
      <w:r>
        <w:t xml:space="preserve">Intent -&gt; Action -&gt; Confirmation -&gt; Response -&gt; Follow-up -&gt; Closure.</w:t>
      </w:r>
    </w:p>
    <w:p>
      <w:pPr>
        <w:pStyle w:val="BodyText"/>
      </w:pPr>
      <w:r>
        <w:t xml:space="preserve">Risk states are encoded as omissions, contradictions, delays, or unresolved closures.</w:t>
      </w:r>
    </w:p>
    <w:bookmarkEnd w:id="17"/>
    <w:bookmarkStart w:id="18" w:name="implementation-stack"/>
    <w:p>
      <w:pPr>
        <w:pStyle w:val="Heading3"/>
      </w:pPr>
      <w:r>
        <w:t xml:space="preserve">Implementation stack</w:t>
      </w:r>
    </w:p>
    <w:p>
      <w:pPr>
        <w:pStyle w:val="FirstParagraph"/>
      </w:pPr>
      <w:r>
        <w:t xml:space="preserve">Backend services were implemented with Python/FastAPI and persisted to Supabase PostgreSQL. Frontend observability used a Netlify-hosted web console. CI/CD workflows automated testing, database migrations, and deployment pipelines.</w:t>
      </w:r>
    </w:p>
    <w:bookmarkEnd w:id="18"/>
    <w:bookmarkStart w:id="19" w:name="safety-engines"/>
    <w:p>
      <w:pPr>
        <w:pStyle w:val="Heading3"/>
      </w:pPr>
      <w:r>
        <w:t xml:space="preserve">Safety engines</w:t>
      </w:r>
    </w:p>
    <w:p>
      <w:pPr>
        <w:pStyle w:val="FirstParagraph"/>
      </w:pPr>
      <w:r>
        <w:t xml:space="preserve">The three pilot engines use deterministic rule logic over event payloads:</w:t>
      </w:r>
    </w:p>
    <w:p>
      <w:pPr>
        <w:pStyle w:val="Compact"/>
        <w:numPr>
          <w:ilvl w:val="0"/>
          <w:numId w:val="1008"/>
        </w:numPr>
      </w:pPr>
      <w:r>
        <w:t xml:space="preserve">medication safety engine,</w:t>
      </w:r>
    </w:p>
    <w:p>
      <w:pPr>
        <w:pStyle w:val="Compact"/>
        <w:numPr>
          <w:ilvl w:val="0"/>
          <w:numId w:val="1008"/>
        </w:numPr>
      </w:pPr>
      <w:r>
        <w:t xml:space="preserve">critical-result closure engine,</w:t>
      </w:r>
    </w:p>
    <w:p>
      <w:pPr>
        <w:pStyle w:val="Compact"/>
        <w:numPr>
          <w:ilvl w:val="0"/>
          <w:numId w:val="1008"/>
        </w:numPr>
      </w:pPr>
      <w:r>
        <w:t xml:space="preserve">deterioration surveillance engine.</w:t>
      </w:r>
    </w:p>
    <w:p>
      <w:pPr>
        <w:pStyle w:val="FirstParagraph"/>
      </w:pPr>
      <w:r>
        <w:t xml:space="preserve">Alert objects include evidence, recommended action, severity class, and role routing.</w:t>
      </w:r>
    </w:p>
    <w:bookmarkEnd w:id="19"/>
    <w:bookmarkStart w:id="20" w:name="agent-orchestration"/>
    <w:p>
      <w:pPr>
        <w:pStyle w:val="Heading3"/>
      </w:pPr>
      <w:r>
        <w:t xml:space="preserve">Agent orchestration</w:t>
      </w:r>
    </w:p>
    <w:p>
      <w:pPr>
        <w:pStyle w:val="FirstParagraph"/>
      </w:pPr>
      <w:r>
        <w:t xml:space="preserve">Eight orchestration agents (A-H) execute designated task sets across foundation, detection, intervention, and governance stages. Task outputs are persisted for audit and validation reporting.</w:t>
      </w:r>
    </w:p>
    <w:bookmarkEnd w:id="20"/>
    <w:bookmarkStart w:id="21" w:name="evaluation-strategy"/>
    <w:p>
      <w:pPr>
        <w:pStyle w:val="Heading3"/>
      </w:pPr>
      <w:r>
        <w:t xml:space="preserve">Evaluation strategy</w:t>
      </w:r>
    </w:p>
    <w:p>
      <w:pPr>
        <w:pStyle w:val="FirstParagraph"/>
      </w:pPr>
      <w:r>
        <w:t xml:space="preserve">Validation is designed in four stages:</w:t>
      </w:r>
    </w:p>
    <w:p>
      <w:pPr>
        <w:pStyle w:val="Compact"/>
        <w:numPr>
          <w:ilvl w:val="0"/>
          <w:numId w:val="1009"/>
        </w:numPr>
      </w:pPr>
      <w:r>
        <w:t xml:space="preserve">retrospective offline benchmarking,</w:t>
      </w:r>
    </w:p>
    <w:p>
      <w:pPr>
        <w:pStyle w:val="Compact"/>
        <w:numPr>
          <w:ilvl w:val="0"/>
          <w:numId w:val="1009"/>
        </w:numPr>
      </w:pPr>
      <w:r>
        <w:t xml:space="preserve">silent prospective monitoring,</w:t>
      </w:r>
    </w:p>
    <w:p>
      <w:pPr>
        <w:pStyle w:val="Compact"/>
        <w:numPr>
          <w:ilvl w:val="0"/>
          <w:numId w:val="1009"/>
        </w:numPr>
      </w:pPr>
      <w:r>
        <w:t xml:space="preserve">controlled live pilot,</w:t>
      </w:r>
    </w:p>
    <w:p>
      <w:pPr>
        <w:pStyle w:val="Compact"/>
        <w:numPr>
          <w:ilvl w:val="0"/>
          <w:numId w:val="1009"/>
        </w:numPr>
      </w:pPr>
      <w:r>
        <w:t xml:space="preserve">scale-up assessment.</w:t>
      </w:r>
    </w:p>
    <w:p>
      <w:pPr>
        <w:pStyle w:val="FirstParagraph"/>
      </w:pPr>
      <w:r>
        <w:t xml:space="preserve">Primary metrics include alert precision, timeliness measures, closure completeness, override patterns, and operational burden metrics.</w:t>
      </w:r>
    </w:p>
    <w:bookmarkEnd w:id="21"/>
    <w:bookmarkEnd w:id="22"/>
    <w:bookmarkStart w:id="23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No patient-identifiable real-world dataset is publicly distributed in this manuscript package. Synthetic event examples and schema artifacts are included in the repository for reproducibility and simulation.</w:t>
      </w:r>
    </w:p>
    <w:bookmarkEnd w:id="23"/>
    <w:bookmarkStart w:id="24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Project repository: https://github.com/hssling/sentinelcare-mvp</w:t>
      </w:r>
    </w:p>
    <w:bookmarkEnd w:id="24"/>
    <w:bookmarkStart w:id="2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 be completed]</w:t>
      </w:r>
    </w:p>
    <w:bookmarkEnd w:id="25"/>
    <w:bookmarkStart w:id="26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[To be completed using CRediT taxonomy]</w:t>
      </w:r>
    </w:p>
    <w:bookmarkEnd w:id="26"/>
    <w:bookmarkStart w:id="27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authors declare [to be completed].</w:t>
      </w:r>
    </w:p>
    <w:bookmarkEnd w:id="27"/>
    <w:bookmarkStart w:id="28" w:name="references-initial"/>
    <w:p>
      <w:pPr>
        <w:pStyle w:val="Heading2"/>
      </w:pPr>
      <w:r>
        <w:t xml:space="preserve">References (initial)</w:t>
      </w:r>
    </w:p>
    <w:p>
      <w:pPr>
        <w:pStyle w:val="Compact"/>
        <w:numPr>
          <w:ilvl w:val="0"/>
          <w:numId w:val="1010"/>
        </w:numPr>
      </w:pPr>
      <w:r>
        <w:t xml:space="preserve">WHO Global Patient Safety Action Plan 2021-2030. https://www.who.int/publications/i/item/9789240032705</w:t>
      </w:r>
    </w:p>
    <w:p>
      <w:pPr>
        <w:pStyle w:val="Compact"/>
        <w:numPr>
          <w:ilvl w:val="0"/>
          <w:numId w:val="1010"/>
        </w:numPr>
      </w:pPr>
      <w:r>
        <w:t xml:space="preserve">WHO Global Patient Safety Report 2024. https://iris.who.int/handle/10665/376928</w:t>
      </w:r>
    </w:p>
    <w:p>
      <w:pPr>
        <w:pStyle w:val="Compact"/>
        <w:numPr>
          <w:ilvl w:val="0"/>
          <w:numId w:val="1010"/>
        </w:numPr>
      </w:pPr>
      <w:r>
        <w:t xml:space="preserve">National Academies. Improving Diagnosis in Health Care. https://www.nationalacademies.org/publications/21794</w:t>
      </w:r>
    </w:p>
    <w:p>
      <w:pPr>
        <w:pStyle w:val="Compact"/>
        <w:numPr>
          <w:ilvl w:val="0"/>
          <w:numId w:val="1010"/>
        </w:numPr>
      </w:pPr>
      <w:r>
        <w:t xml:space="preserve">Evans L, et al. Surviving Sepsis Campaign 2021. https://pubmed.ncbi.nlm.nih.gov/34599691/</w:t>
      </w:r>
    </w:p>
    <w:p>
      <w:pPr>
        <w:pStyle w:val="Compact"/>
        <w:numPr>
          <w:ilvl w:val="0"/>
          <w:numId w:val="1010"/>
        </w:numPr>
      </w:pPr>
      <w:r>
        <w:t xml:space="preserve">FDA Clinical Decision Support Software Guidance. https://www.fda.gov/regulatory-information/search-fda-guidance-documents/clinical-decision-support-software</w:t>
      </w:r>
    </w:p>
    <w:p>
      <w:pPr>
        <w:pStyle w:val="Compact"/>
        <w:numPr>
          <w:ilvl w:val="0"/>
          <w:numId w:val="1010"/>
        </w:numPr>
      </w:pPr>
      <w:r>
        <w:t xml:space="preserve">FDA GMLP principles. https://www.fda.gov/medical-devices/software-medical-device-samd/good-machine-learning-practice-medical-device-development-guiding-principles</w:t>
      </w:r>
    </w:p>
    <w:p>
      <w:pPr>
        <w:pStyle w:val="Compact"/>
        <w:numPr>
          <w:ilvl w:val="0"/>
          <w:numId w:val="1010"/>
        </w:numPr>
      </w:pPr>
      <w:r>
        <w:t xml:space="preserve">ONC Decision Support Interventions transparency criteria. https://www.healthit.gov/test-method/decision-support-interventions</w:t>
      </w:r>
    </w:p>
    <w:p>
      <w:pPr>
        <w:pStyle w:val="Compact"/>
        <w:numPr>
          <w:ilvl w:val="0"/>
          <w:numId w:val="1010"/>
        </w:numPr>
      </w:pPr>
      <w:r>
        <w:t xml:space="preserve">Wong A, et al. External validation of Epic Sepsis Model. JAMA Intern Med. https://jamanetwork.com/journals/jamainternalmedicine/fullarticle/2781307</w:t>
      </w:r>
    </w:p>
    <w:p>
      <w:pPr>
        <w:pStyle w:val="Compact"/>
        <w:numPr>
          <w:ilvl w:val="0"/>
          <w:numId w:val="1010"/>
        </w:numPr>
      </w:pPr>
      <w:r>
        <w:t xml:space="preserve">Apalodimas L, et al. External validation in county EDs. https://pubmed.ncbi.nlm.nih.gov/39545248/</w:t>
      </w:r>
    </w:p>
    <w:p>
      <w:pPr>
        <w:pStyle w:val="Compact"/>
        <w:numPr>
          <w:ilvl w:val="0"/>
          <w:numId w:val="1010"/>
        </w:numPr>
      </w:pPr>
      <w:r>
        <w:t xml:space="preserve">Closing-the-loop test result communication review. https://pmc.ncbi.nlm.nih.gov/articles/PMC7510293/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2026-03-07T16:54:13Z</dcterms:created>
  <dcterms:modified xsi:type="dcterms:W3CDTF">2026-03-07T16:54:13Z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