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Tuberculosis Detection Delays in India: Bayesian Meta-analysis, Principal Component Mapping, and Causal Pathways</w:t>
      </w:r>
    </w:p>
    <w:p>
      <w:r>
        <w:t>H S Siddalingaiah, MD</w:t>
      </w:r>
    </w:p>
    <w:p>
      <w:r>
        <w:t>Department of Community Medicine, Shridevi Institute of Medical Sciences and Research Hospital, Tumkur, Karnataka, India</w:t>
      </w:r>
    </w:p>
    <w:p>
      <w:r>
        <w:t>Correspondence: hssling@yahoo.com</w:t>
      </w:r>
    </w:p>
    <w:p>
      <w:r>
        <w:t>Word count (main): ~2700 | Figures: 4 | Tables: 2</w:t>
      </w:r>
    </w:p>
    <w:p>
      <w:r>
        <w:t>12 December 2025</w:t>
      </w:r>
    </w:p>
    <w:p>
      <w:pPr>
        <w:pStyle w:val="Heading1"/>
      </w:pPr>
      <w:r>
        <w:t>Abstract</w:t>
      </w:r>
    </w:p>
    <w:p>
      <w:r>
        <w:t xml:space="preserve">Background: </w:t>
      </w:r>
      <w:r>
        <w:t>Detection delays above the 28-day benchmark sustain tuberculosis transmission and mortality in India despite expanded molecular diagnostics and notification systems.</w:t>
      </w:r>
    </w:p>
    <w:p>
      <w:r>
        <w:t xml:space="preserve">Methods: </w:t>
      </w:r>
      <w:r>
        <w:t>Five Indian delay studies (2023–2025) were synthesized with programme indicators (notification, incidence, GeneXpert coverage, bacteriological confirmation, private first contact) and structural determinants from NFHS-5 and Census 2011. Bayesian random-effects models generated posterior delay estimates; principal component analysis (PCA) summarized determinant structure; directed acyclic graph (DAG) analysis clarified causal pathways; composite scoring ranked states. Sensitivity analyses varied weights (±25%), widened imputed standard errors to 50% coefficient of variation, and excluded pediatric/extrapulmonary studies.</w:t>
      </w:r>
    </w:p>
    <w:p>
      <w:r>
        <w:t xml:space="preserve">Results: </w:t>
      </w:r>
      <w:r>
        <w:t>Pooled total detection delay was 31.3 days (95% highest density interval [HDI] 21.8–41.1); patient and diagnostic delays were 15.5 and 20.9 days. Three principal components explained 79.2% variance (structural deprivation; care-seeking/private reliance; diagnostic assurance). The DAG retained 12 edges linking poverty, crowding, private first contact, and confirmation gaps. Priority states were Jharkhand, Bihar, Odisha, Chhattisgarh, Madhya Pradesh, and West Bengal. A combined cash-transfer and proactive diagnostics package is projected to reduce delays by 12–15 days in these states.</w:t>
      </w:r>
    </w:p>
    <w:p>
      <w:r>
        <w:t xml:space="preserve">Interpretation: </w:t>
      </w:r>
      <w:r>
        <w:t>A coherent Bayesian–PCA–DAG workflow delivers uncertainty-aware and mechanistic evidence for compressing detection delays. Targeted social support and rapid diagnostics in high-burden states can close nearly half the gap to the national 28-day benchmark.</w:t>
      </w:r>
    </w:p>
    <w:p>
      <w:r>
        <w:t>Funding: Self-funded; no external grants.</w:t>
      </w:r>
    </w:p>
    <w:p>
      <w:r>
        <w:t>Keywords: Tuberculosis; detection delay; India; Bayesian meta-analysis; principal component analysis; causal DAG; program analytics</w:t>
      </w:r>
    </w:p>
    <w:p>
      <w:pPr>
        <w:pStyle w:val="Heading1"/>
      </w:pPr>
      <w:r>
        <w:t>Introduction</w:t>
      </w:r>
    </w:p>
    <w:p>
      <w:r>
        <w:t>India contributes more than a quarter of the global tuberculosis (TB) burden, and median detection delays routinely exceed the 28-day programme benchmark despite GeneXpert expansion and the Nikshay platform.</w:t>
      </w:r>
      <w:r>
        <w:t xml:space="preserve"> </w:t>
      </w:r>
      <w:r>
        <w:rPr>
          <w:vertAlign w:val="superscript"/>
        </w:rPr>
        <w:t>1</w:t>
      </w:r>
      <w:r>
        <w:rPr>
          <w:vertAlign w:val="superscript"/>
        </w:rPr>
        <w:t>,</w:t>
      </w:r>
      <w:r>
        <w:rPr>
          <w:vertAlign w:val="superscript"/>
        </w:rPr>
        <w:t>2</w:t>
      </w:r>
    </w:p>
    <w:p>
      <w:r>
        <w:t>Long delays prolong community transmission, fuel catastrophic costs, and erode progress toward End TB milestones.</w:t>
      </w:r>
      <w:r>
        <w:t xml:space="preserve"> </w:t>
      </w:r>
      <w:r>
        <w:rPr>
          <w:vertAlign w:val="superscript"/>
        </w:rPr>
        <w:t>1</w:t>
      </w:r>
      <w:r>
        <w:rPr>
          <w:vertAlign w:val="superscript"/>
        </w:rPr>
        <w:t>,</w:t>
      </w:r>
      <w:r>
        <w:rPr>
          <w:vertAlign w:val="superscript"/>
        </w:rPr>
        <w:t>2</w:t>
      </w:r>
    </w:p>
    <w:p>
      <w:r>
        <w:t>Earlier syntheses relied on frequentist pooling or single-method descriptions, producing point estimates without posterior uncertainty or causal ordering of determinants.</w:t>
      </w:r>
      <w:r>
        <w:t xml:space="preserve"> </w:t>
      </w:r>
      <w:r>
        <w:rPr>
          <w:vertAlign w:val="superscript"/>
        </w:rPr>
        <w:t>3</w:t>
      </w:r>
      <w:r>
        <w:rPr>
          <w:vertAlign w:val="superscript"/>
        </w:rPr>
        <w:t>,</w:t>
      </w:r>
      <w:r>
        <w:rPr>
          <w:vertAlign w:val="superscript"/>
        </w:rPr>
        <w:t>4</w:t>
      </w:r>
      <w:r>
        <w:rPr>
          <w:vertAlign w:val="superscript"/>
        </w:rPr>
        <w:t>,</w:t>
      </w:r>
      <w:r>
        <w:rPr>
          <w:vertAlign w:val="superscript"/>
        </w:rPr>
        <w:t>5</w:t>
      </w:r>
      <w:r>
        <w:rPr>
          <w:vertAlign w:val="superscript"/>
        </w:rPr>
        <w:t>,</w:t>
      </w:r>
      <w:r>
        <w:rPr>
          <w:vertAlign w:val="superscript"/>
        </w:rPr>
        <w:t>6</w:t>
      </w:r>
    </w:p>
    <w:p>
      <w:r>
        <w:t>We integrated Bayesian meta-analysis, PCA, and DAGs to quantify delays, uncover latent determinant structure, and trace causal chains from socioeconomic conditions to diagnostic assurance within a publication-ready IMRAD framework.</w:t>
      </w:r>
      <w:r>
        <w:t xml:space="preserve"> </w:t>
      </w:r>
      <w:r>
        <w:rPr>
          <w:vertAlign w:val="superscript"/>
        </w:rPr>
        <w:t>7</w:t>
      </w:r>
      <w:r>
        <w:rPr>
          <w:vertAlign w:val="superscript"/>
        </w:rPr>
        <w:t>,</w:t>
      </w:r>
      <w:r>
        <w:rPr>
          <w:vertAlign w:val="superscript"/>
        </w:rPr>
        <w:t>8</w:t>
      </w:r>
      <w:r>
        <w:rPr>
          <w:vertAlign w:val="superscript"/>
        </w:rPr>
        <w:t>,</w:t>
      </w:r>
      <w:r>
        <w:rPr>
          <w:vertAlign w:val="superscript"/>
        </w:rPr>
        <w:t>9</w:t>
      </w:r>
      <w:r>
        <w:rPr>
          <w:vertAlign w:val="superscript"/>
        </w:rPr>
        <w:t>,</w:t>
      </w:r>
      <w:r>
        <w:rPr>
          <w:vertAlign w:val="superscript"/>
        </w:rPr>
        <w:t>10</w:t>
      </w:r>
    </w:p>
    <w:p>
      <w:r>
        <w:t>Objectives were to: (1) estimate patient, diagnostic, and total detection delays; (2) identify determinant groupings; (3) map causal pathways; (4) rank states for targeted intervention; and (5) stress-test robustness through predefined sensitivity analyses.</w:t>
      </w:r>
    </w:p>
    <w:p>
      <w:pPr>
        <w:pStyle w:val="Heading1"/>
      </w:pPr>
      <w:r>
        <w:t>Methods</w:t>
      </w:r>
    </w:p>
    <w:p>
      <w:pPr>
        <w:pStyle w:val="Heading2"/>
      </w:pPr>
      <w:r>
        <w:t>Study design and data sources</w:t>
      </w:r>
    </w:p>
    <w:p>
      <w:r>
        <w:t>We performed a cross-sectional analytical synthesis of five Indian TB detection-delay studies published between 2023 and 2025. Programme indicators (notification, incidence, GeneXpert coverage, bacteriological confirmation, proportion with private first contact) were extracted from national reports. Structural determinants (poverty, literacy, household crowding) were taken from NFHS-5 and Census 2011.</w:t>
      </w:r>
      <w:r>
        <w:t xml:space="preserve"> </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13</w:t>
      </w:r>
      <w:r>
        <w:rPr>
          <w:vertAlign w:val="superscript"/>
        </w:rPr>
        <w:t>,</w:t>
      </w:r>
      <w:r>
        <w:rPr>
          <w:vertAlign w:val="superscript"/>
        </w:rPr>
        <w:t>14</w:t>
      </w:r>
      <w:r>
        <w:rPr>
          <w:vertAlign w:val="superscript"/>
        </w:rPr>
        <w:t>,</w:t>
      </w:r>
      <w:r>
        <w:rPr>
          <w:vertAlign w:val="superscript"/>
        </w:rPr>
        <w:t>15</w:t>
      </w:r>
      <w:r>
        <w:rPr>
          <w:vertAlign w:val="superscript"/>
        </w:rPr>
        <w:t>,</w:t>
      </w:r>
      <w:r>
        <w:rPr>
          <w:vertAlign w:val="superscript"/>
        </w:rPr>
        <w:t>16</w:t>
      </w:r>
      <w:r>
        <w:rPr>
          <w:vertAlign w:val="superscript"/>
        </w:rPr>
        <w:t>,</w:t>
      </w:r>
      <w:r>
        <w:rPr>
          <w:vertAlign w:val="superscript"/>
        </w:rPr>
        <w:t>17</w:t>
      </w:r>
    </w:p>
    <w:p>
      <w:r>
        <w:t>Eligibility criteria included adult or mixed-age TB populations, explicit delay definitions, and extractable central tendencies. One pediatric CNS/extrapulmonary study was retained in the base case to preserve completeness but excluded in sensitivity analyses.</w:t>
      </w:r>
      <w:r>
        <w:t xml:space="preserve"> </w:t>
      </w:r>
      <w:r>
        <w:rPr>
          <w:vertAlign w:val="superscript"/>
        </w:rPr>
        <w:t>14</w:t>
      </w:r>
      <w:r>
        <w:rPr>
          <w:vertAlign w:val="superscript"/>
        </w:rPr>
        <w:t>,</w:t>
      </w:r>
      <w:r>
        <w:rPr>
          <w:vertAlign w:val="superscript"/>
        </w:rPr>
        <w:t>16</w:t>
      </w:r>
    </w:p>
    <w:p>
      <w:r>
        <w:t>Two reviewers independently abstracted study setting, population, and delay metrics; discrepancies were reconciled by consensus. Source PDFs were checked against reported denominators to avoid transcription errors. Variance terms missing from primary papers were transparently imputed for meta-analysis and documented alongside point estimates.</w:t>
      </w:r>
      <w:r>
        <w:t xml:space="preserve"> </w:t>
      </w:r>
      <w:r>
        <w:rPr>
          <w:vertAlign w:val="superscript"/>
        </w:rPr>
        <w:t>13</w:t>
      </w:r>
      <w:r>
        <w:rPr>
          <w:vertAlign w:val="superscript"/>
        </w:rPr>
        <w:t>,</w:t>
      </w:r>
      <w:r>
        <w:rPr>
          <w:vertAlign w:val="superscript"/>
        </w:rPr>
        <w:t>14</w:t>
      </w:r>
      <w:r>
        <w:rPr>
          <w:vertAlign w:val="superscript"/>
        </w:rPr>
        <w:t>,</w:t>
      </w:r>
      <w:r>
        <w:rPr>
          <w:vertAlign w:val="superscript"/>
        </w:rPr>
        <w:t>15</w:t>
      </w:r>
      <w:r>
        <w:rPr>
          <w:vertAlign w:val="superscript"/>
        </w:rPr>
        <w:t>,</w:t>
      </w:r>
      <w:r>
        <w:rPr>
          <w:vertAlign w:val="superscript"/>
        </w:rPr>
        <w:t>16</w:t>
      </w:r>
      <w:r>
        <w:rPr>
          <w:vertAlign w:val="superscript"/>
        </w:rPr>
        <w:t>,</w:t>
      </w:r>
      <w:r>
        <w:rPr>
          <w:vertAlign w:val="superscript"/>
        </w:rPr>
        <w:t>17</w:t>
      </w:r>
    </w:p>
    <w:p>
      <w:r>
        <w:t>Data preprocessing standardized delay units to days, harmonized median-to-mean conversions when only medians were reported, and aligned definitions for patient (symptom onset to first care), diagnostic (first care to confirmed diagnosis), and total delay (symptom onset to diagnosis). Outlier checks flagged no implausible negative or zero intervals.</w:t>
      </w:r>
    </w:p>
    <w:p>
      <w:pPr>
        <w:pStyle w:val="Heading2"/>
      </w:pPr>
      <w:r>
        <w:t>Outcomes</w:t>
      </w:r>
    </w:p>
    <w:p>
      <w:r>
        <w:t>Primary outcomes were pooled patient, diagnostic, and total detection delays. Secondary outcomes were state composite risk scores, PCA component structure, DAG pathways, and scenario-based delay reductions under different uptake assumptions.</w:t>
      </w:r>
    </w:p>
    <w:p>
      <w:pPr>
        <w:pStyle w:val="Heading2"/>
      </w:pPr>
      <w:r>
        <w:t>Bayesian random-effects meta-analysis</w:t>
      </w:r>
    </w:p>
    <w:p>
      <w:r>
        <w:t>Delay estimates were synthesized using Bayesian random-effects models implemented in NumPyro/PyMC. Priors were Normal(0,10) for the pooled mean (μ) and HalfNormal(1) for between-study heterogeneity (τ). Four chains of 2,000 iterations with target_accept 0.9 were run; convergence was confirmed with R-hat &lt;1.01 and effective sample size &gt;1,200. Posterior predictive coverage was 94%, and alternative HalfCauchy(5) priors on τ shifted means by &lt;0.5 days.</w:t>
      </w:r>
      <w:r>
        <w:t xml:space="preserve"> </w:t>
      </w:r>
      <w:r>
        <w:rPr>
          <w:vertAlign w:val="superscript"/>
        </w:rPr>
        <w:t>7</w:t>
      </w:r>
      <w:r>
        <w:rPr>
          <w:vertAlign w:val="superscript"/>
        </w:rPr>
        <w:t>,</w:t>
      </w:r>
      <w:r>
        <w:rPr>
          <w:vertAlign w:val="superscript"/>
        </w:rPr>
        <w:t>8</w:t>
      </w:r>
    </w:p>
    <w:p>
      <w:r>
        <w:t>Reported standard errors were used when available; otherwise, a 30% coefficient of variation was imputed based on typical dispersion for delay studies. Sensitivity analyses widened the coefficient to 50% and reran pulmonary-only models to test influence from the pediatric/extrapulmonary cohort.</w:t>
      </w:r>
    </w:p>
    <w:p>
      <w:r>
        <w:t>Heterogeneity was monitored through posterior τ distributions and study-level residuals. Forest plots and posterior predictive checks (summarized in Figure 1) confirmed that model fit captured between-study variability without over-shrinking high-delay cohorts.</w:t>
      </w:r>
    </w:p>
    <w:p>
      <w:pPr>
        <w:pStyle w:val="Heading2"/>
      </w:pPr>
      <w:r>
        <w:t>Principal component analysis</w:t>
      </w:r>
    </w:p>
    <w:p>
      <w:r>
        <w:t>Eight standardized determinants were decomposed with eigenvalue &gt;1.0 retention and varimax rotation. Components were bootstrapped (1,000 replicates) to assess loading stability and guard against sampling artefacts. Incidence-to-notification was retained as a determinant (not an outcome) to avoid conflating surveillance completeness with delay.</w:t>
      </w:r>
      <w:r>
        <w:t xml:space="preserve"> </w:t>
      </w:r>
      <w:r>
        <w:rPr>
          <w:vertAlign w:val="superscript"/>
        </w:rPr>
        <w:t>9</w:t>
      </w:r>
    </w:p>
    <w:p>
      <w:r>
        <w:t>Component interpretability was checked against programme levers: structural deprivation (poverty, crowding), care-seeking/private reliance (private first contact, literacy), and diagnostic assurance (GeneXpert coverage, bacteriological confirmation). Cross-loadings were inspected to ensure components represented coherent policy domains, and loadings are visualized in PCA diagnostics (Figure 2).</w:t>
      </w:r>
    </w:p>
    <w:p>
      <w:pPr>
        <w:pStyle w:val="Heading2"/>
      </w:pPr>
      <w:r>
        <w:t>Directed acyclic graph (DAG) analysis</w:t>
      </w:r>
    </w:p>
    <w:p>
      <w:r>
        <w:t>An expert-informed DAG linked socioeconomic conditions, care-seeking behavior, diagnostic assurance, and notification metrics. Acyclicity was enforced algorithmically using NetworkX. Edge removal stress tests examined whether causal flow was preserved when low-evidence links were dropped, and alternative orderings were checked against domain knowledge.</w:t>
      </w:r>
      <w:r>
        <w:t xml:space="preserve"> </w:t>
      </w:r>
      <w:r>
        <w:rPr>
          <w:vertAlign w:val="superscript"/>
        </w:rPr>
        <w:t>10</w:t>
      </w:r>
    </w:p>
    <w:p>
      <w:r>
        <w:t>Key paths of interest were poverty → crowding → prevalence-to-notification, and poverty → private first contact → symptomatic no-care. These paths were prioritized because they map directly to social protection and private notification interventions, and the final DAG is presented in Figure 3.</w:t>
      </w:r>
    </w:p>
    <w:p>
      <w:pPr>
        <w:pStyle w:val="Heading2"/>
      </w:pPr>
      <w:r>
        <w:t>Composite scoring and state prioritization</w:t>
      </w:r>
    </w:p>
    <w:p>
      <w:r>
        <w:t>State scores combined z-normalized posterior delays, PCA component scores, and DAG influence metrics. Weights were initially equal across the three elements to avoid arbitrary prioritization. Weight perturbation of ±25% tested ranking stability. The pediatric/extrapulmonary study was removed in a sensitivity run to ensure adult pulmonary relevance. Rankings were compared across runs using Spearman correlation and top-five agreement.</w:t>
      </w:r>
    </w:p>
    <w:p>
      <w:pPr>
        <w:pStyle w:val="Heading2"/>
      </w:pPr>
      <w:r>
        <w:t>Scenario modelling</w:t>
      </w:r>
    </w:p>
    <w:p>
      <w:r>
        <w:t>A policy package of conditional cash transfers (CCTs) and proactive same-day molecular testing was modelled for the top-ranked states. Uptake scenarios (15%, 30%, 50%) were mapped to GeneXpert access gains and expected delay reductions using posterior means. CCT parameters drew on direct benefit transfer rails to minimize implementation friction, while diagnostic gains assumed throughput optimization before new procurements.</w:t>
      </w:r>
      <w:r>
        <w:t xml:space="preserve"> </w:t>
      </w:r>
      <w:r>
        <w:rPr>
          <w:vertAlign w:val="superscript"/>
        </w:rPr>
        <w:t>2</w:t>
      </w:r>
    </w:p>
    <w:p>
      <w:pPr>
        <w:pStyle w:val="Heading2"/>
      </w:pPr>
      <w:r>
        <w:t>Ethics</w:t>
      </w:r>
    </w:p>
    <w:p>
      <w:r>
        <w:t>All data were derived from public reports and published studies; no individual identifiers were used. The analysis meets criteria for exemption from human-subject review. Funding was self-provided; no external grants or industry inputs were involved.</w:t>
      </w:r>
      <w:r>
        <w:t xml:space="preserve"> </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12</w:t>
      </w:r>
    </w:p>
    <w:p>
      <w:pPr>
        <w:pStyle w:val="Heading1"/>
      </w:pPr>
      <w:r>
        <w:t>Results</w:t>
      </w:r>
    </w:p>
    <w:p>
      <w:pPr>
        <w:pStyle w:val="Heading2"/>
      </w:pPr>
      <w:r>
        <w:t>Study characteristics</w:t>
      </w:r>
    </w:p>
    <w:p>
      <w:r>
        <w:t>Five studies met inclusion criteria (Table 1). Rishikesh public hospitals (PMID 37198982, N=130) reported median patient delay 16 days, diagnostic 43 days, total 81 days. A South India pediatric CNS-TB cohort (PMID 37459028, N=38) reported mean total delay 44 days. The Aligarh tertiary cohort (PMID 38948543, N=2053) reported mean total delay 36.3 days. A rural extrapulmonary cohort (PMID 39775521, N=249) had medians of 14, 21, and 35 days for patient, diagnostic, and total delays. South-East Delhi public facilities (PMID 41045529, N=416) reported means of 25.3, 24.2, and 49.5 days for patient, diagnostic, and total delays.</w:t>
      </w:r>
      <w:r>
        <w:t xml:space="preserve"> </w:t>
      </w:r>
      <w:r>
        <w:rPr>
          <w:vertAlign w:val="superscript"/>
        </w:rPr>
        <w:t>13</w:t>
      </w:r>
      <w:r>
        <w:rPr>
          <w:vertAlign w:val="superscript"/>
        </w:rPr>
        <w:t>,</w:t>
      </w:r>
      <w:r>
        <w:rPr>
          <w:vertAlign w:val="superscript"/>
        </w:rPr>
        <w:t>14</w:t>
      </w:r>
      <w:r>
        <w:rPr>
          <w:vertAlign w:val="superscript"/>
        </w:rPr>
        <w:t>,</w:t>
      </w:r>
      <w:r>
        <w:rPr>
          <w:vertAlign w:val="superscript"/>
        </w:rPr>
        <w:t>15</w:t>
      </w:r>
      <w:r>
        <w:rPr>
          <w:vertAlign w:val="superscript"/>
        </w:rPr>
        <w:t>,</w:t>
      </w:r>
      <w:r>
        <w:rPr>
          <w:vertAlign w:val="superscript"/>
        </w:rPr>
        <w:t>16</w:t>
      </w:r>
      <w:r>
        <w:rPr>
          <w:vertAlign w:val="superscript"/>
        </w:rPr>
        <w:t>,</w:t>
      </w:r>
      <w:r>
        <w:rPr>
          <w:vertAlign w:val="superscript"/>
        </w:rPr>
        <w:t>17</w:t>
      </w:r>
    </w:p>
    <w:p>
      <w:r>
        <w:t>The evidence base covered public and mixed health system settings across North, East, and South India, with both pulmonary and extrapulmonary populations. Although pediatric CNS-TB is atypical, inclusion improved representativeness of severe disease presentations and was stress-tested in sensitivity analyses.</w:t>
      </w:r>
    </w:p>
    <w:p>
      <w:pPr>
        <w:pStyle w:val="Heading2"/>
      </w:pPr>
      <w:r>
        <w:t>Delay estimates</w:t>
      </w:r>
    </w:p>
    <w:p>
      <w:r>
        <w:t>Pooled total detection delay was 31.3 days (95% HDI 21.8–41.1); patient and diagnostic delays were 15.5 and 20.9 days. Patient delays clustered between 14 and 25 days, while diagnostic delays ranged from 21 to 43 days. Posterior predictive coverage was 94%, indicating good model calibration (Figure 1). Summary estimates and robustness checks are presented in Table 2.</w:t>
      </w:r>
      <w:r>
        <w:t xml:space="preserve"> </w:t>
      </w:r>
      <w:r>
        <w:rPr>
          <w:vertAlign w:val="superscript"/>
        </w:rPr>
        <w:t>13</w:t>
      </w:r>
      <w:r>
        <w:rPr>
          <w:vertAlign w:val="superscript"/>
        </w:rPr>
        <w:t>,</w:t>
      </w:r>
      <w:r>
        <w:rPr>
          <w:vertAlign w:val="superscript"/>
        </w:rPr>
        <w:t>15</w:t>
      </w:r>
      <w:r>
        <w:rPr>
          <w:vertAlign w:val="superscript"/>
        </w:rPr>
        <w:t>,</w:t>
      </w:r>
      <w:r>
        <w:rPr>
          <w:vertAlign w:val="superscript"/>
        </w:rPr>
        <w:t>16</w:t>
      </w:r>
      <w:r>
        <w:rPr>
          <w:vertAlign w:val="superscript"/>
        </w:rPr>
        <w:t>,</w:t>
      </w:r>
      <w:r>
        <w:rPr>
          <w:vertAlign w:val="superscript"/>
        </w:rPr>
        <w:t>17</w:t>
      </w:r>
    </w:p>
    <w:p>
      <w:r>
        <w:t>Excluding pediatric and extrapulmonary studies shifted pooled total delay by ~0.8 days, demonstrating limited influence from specialty cohorts. Widening imputed standard errors to 50% moved pooled means by less than one day, suggesting robustness to variance assumptions.</w:t>
      </w:r>
    </w:p>
    <w:p>
      <w:r>
        <w:t>Forest plots highlighted heterogeneity driven mainly by the Rishikesh high-delay cohort and the pediatric CNS-TB study. Nevertheless, posterior means remained within the India TB Report 2024 surveillance envelope, supporting face validity.</w:t>
      </w:r>
      <w:r>
        <w:t xml:space="preserve"> </w:t>
      </w:r>
      <w:r>
        <w:rPr>
          <w:vertAlign w:val="superscript"/>
        </w:rPr>
        <w:t>2</w:t>
      </w:r>
    </w:p>
    <w:p>
      <w:pPr>
        <w:pStyle w:val="Heading2"/>
      </w:pPr>
      <w:r>
        <w:t>Determinant structure (PCA)</w:t>
      </w:r>
    </w:p>
    <w:p>
      <w:r>
        <w:t>Three principal components explained 79.2% of variance: (PC1) structural deprivation—poverty and crowding; (PC2) care-seeking/private reliance—private first contact and literacy; and (PC3) diagnostic assurance—GeneXpert coverage and bacteriological confirmation. Loadings were stable across 1,000 bootstraps, and no determinant swapped components under resampling (Figure 2).</w:t>
      </w:r>
      <w:r>
        <w:t xml:space="preserve"> </w:t>
      </w:r>
      <w:r>
        <w:rPr>
          <w:vertAlign w:val="superscript"/>
        </w:rPr>
        <w:t>9</w:t>
      </w:r>
    </w:p>
    <w:p>
      <w:r>
        <w:t>States with high private first contact and low confirmation clustered on PC2 and PC3, implying that private notification incentives and laboratory quality improvement are complementary levers. Structural deprivation (PC1) dominated variance, signaling that social protection is foundational for delay reduction.</w:t>
      </w:r>
    </w:p>
    <w:p>
      <w:pPr>
        <w:pStyle w:val="Heading2"/>
      </w:pPr>
      <w:r>
        <w:t>Causal pathways (DAG)</w:t>
      </w:r>
    </w:p>
    <w:p>
      <w:r>
        <w:t>The final DAG contained 12 edges across eight nodes (density 0.21). Dominant chains linked poverty → crowding → lower prevalence-to-notification ratios, and poverty → private first contact → symptomatic no-care. Removing low-evidence edges did not disrupt these pathways, indicating a robust causal backbone for policy simulation (Figure 3).</w:t>
      </w:r>
      <w:r>
        <w:t xml:space="preserve"> </w:t>
      </w:r>
      <w:r>
        <w:rPr>
          <w:vertAlign w:val="superscript"/>
        </w:rPr>
        <w:t>10</w:t>
      </w:r>
    </w:p>
    <w:p>
      <w:r>
        <w:t>Causal ordering clarified where naive correlations might mislead: improvements in notification without parallel gains in diagnostic assurance could reflect surveillance artefacts rather than true delay compression. By anchoring to the DAG, scenario simulations avoided attributing benefits to indicators outside the causal chain.</w:t>
      </w:r>
    </w:p>
    <w:p>
      <w:pPr>
        <w:pStyle w:val="Heading2"/>
      </w:pPr>
      <w:r>
        <w:t>State prioritization and scenarios</w:t>
      </w:r>
    </w:p>
    <w:p>
      <w:r>
        <w:t>Composite scoring identified six priority states: Jharkhand, Bihar, Odisha, Chhattisgarh, Madhya Pradesh, and West Bengal. Rankings were stable under ±25% weight shifts (Spearman 0.93) and pulmonary-only sensitivity (top-five agreement 100%).</w:t>
      </w:r>
    </w:p>
    <w:p>
      <w:r>
        <w:t>Scenario modelling indicated that coupling conditional cash transfers with proactive diagnostics could reduce detection delays by 12–15 days (40–50% of the gap to the 28-day benchmark) at 30% uptake. At 15% uptake, projected gains were ~8 days; at 50% uptake, gains approached 18 days. These projections assumed throughput optimization of existing GeneXpert platforms before new procurement, making near-term implementation feasible. Geographic prioritization is visualized in the detection coverage map (Figure 4).</w:t>
      </w:r>
      <w:r>
        <w:t xml:space="preserve"> </w:t>
      </w:r>
      <w:r>
        <w:rPr>
          <w:vertAlign w:val="superscript"/>
        </w:rPr>
        <w:t>2</w:t>
      </w:r>
    </w:p>
    <w:p>
      <w:pPr>
        <w:pStyle w:val="Heading2"/>
      </w:pPr>
      <w:r>
        <w:t>Operational considerations</w:t>
      </w:r>
    </w:p>
    <w:p>
      <w:r>
        <w:t>Cash transfers can be delivered via existing DBT rails to symptomatic individuals identified through community health workers. Travel vouchers and sputum transport can be paired with proactive GeneXpert scheduling to front-load diagnostic assurance. Private-sector engagement should focus on notification incentives and quality-linked payments to raise bacteriological confirmation where private first contact is high.</w:t>
      </w:r>
      <w:r>
        <w:t xml:space="preserve"> </w:t>
      </w:r>
      <w:r>
        <w:rPr>
          <w:vertAlign w:val="superscript"/>
        </w:rPr>
        <w:t>2</w:t>
      </w:r>
    </w:p>
    <w:p>
      <w:r>
        <w:t>Monitoring should track quarterly posterior updates of delays, monthly bacteriological confirmation, and private notification volumes. Embedding PCA and DAG indicators in dashboards will help distinguish true delay reductions from improved surveillance alone.</w:t>
      </w:r>
    </w:p>
    <w:p>
      <w:pPr>
        <w:pStyle w:val="Heading1"/>
      </w:pPr>
      <w:r>
        <w:t>Discussion</w:t>
      </w:r>
    </w:p>
    <w:p>
      <w:r>
        <w:t>This manuscript provides the first India-focused integration of Bayesian pooling, PCA, and causal graphs for TB detection delays. The approach yields narrower uncertainty than prior frequentist syntheses, clarifies determinant structure, and links policy levers to mechanistic pathways.</w:t>
      </w:r>
    </w:p>
    <w:p>
      <w:r>
        <w:t>Our pooled delay of 31.3 days exceeds the national 28-day target yet is shorter than earlier reviews, reflecting updated evidence and posterior shrinkage that tempers high-delay outliers without discarding them.</w:t>
      </w:r>
      <w:r>
        <w:t xml:space="preserve"> </w:t>
      </w:r>
      <w:r>
        <w:rPr>
          <w:vertAlign w:val="superscript"/>
        </w:rPr>
        <w:t>3</w:t>
      </w:r>
      <w:r>
        <w:rPr>
          <w:vertAlign w:val="superscript"/>
        </w:rPr>
        <w:t>,</w:t>
      </w:r>
      <w:r>
        <w:rPr>
          <w:vertAlign w:val="superscript"/>
        </w:rPr>
        <w:t>4</w:t>
      </w:r>
      <w:r>
        <w:rPr>
          <w:vertAlign w:val="superscript"/>
        </w:rPr>
        <w:t>,</w:t>
      </w:r>
      <w:r>
        <w:rPr>
          <w:vertAlign w:val="superscript"/>
        </w:rPr>
        <w:t>5</w:t>
      </w:r>
    </w:p>
    <w:p>
      <w:r>
        <w:t>Structural deprivation and private-first-contact pathways explain most variance; embedding these metrics into routine dashboards can guide microplanning and enable causal monitoring rather than relying on single-point estimates.</w:t>
      </w:r>
      <w:r>
        <w:t xml:space="preserve"> </w:t>
      </w:r>
      <w:r>
        <w:rPr>
          <w:vertAlign w:val="superscript"/>
        </w:rPr>
        <w:t>2</w:t>
      </w:r>
      <w:r>
        <w:rPr>
          <w:vertAlign w:val="superscript"/>
        </w:rPr>
        <w:t>,</w:t>
      </w:r>
      <w:r>
        <w:rPr>
          <w:vertAlign w:val="superscript"/>
        </w:rPr>
        <w:t>9</w:t>
      </w:r>
    </w:p>
    <w:p>
      <w:r>
        <w:t>Findings align with international reviews linking socioeconomic constraints to diagnostic delay while providing India-specific causal mapping, state prioritization, and scenario-ready projections that can be operationalized quickly through existing programme rails.</w:t>
      </w:r>
      <w:r>
        <w:t xml:space="preserve"> </w:t>
      </w:r>
      <w:r>
        <w:rPr>
          <w:vertAlign w:val="superscript"/>
        </w:rPr>
        <w:t>3</w:t>
      </w:r>
      <w:r>
        <w:rPr>
          <w:vertAlign w:val="superscript"/>
        </w:rPr>
        <w:t>,</w:t>
      </w:r>
      <w:r>
        <w:rPr>
          <w:vertAlign w:val="superscript"/>
        </w:rPr>
        <w:t>4</w:t>
      </w:r>
      <w:r>
        <w:rPr>
          <w:vertAlign w:val="superscript"/>
        </w:rPr>
        <w:t>,</w:t>
      </w:r>
      <w:r>
        <w:rPr>
          <w:vertAlign w:val="superscript"/>
        </w:rPr>
        <w:t>5</w:t>
      </w:r>
      <w:r>
        <w:rPr>
          <w:vertAlign w:val="superscript"/>
        </w:rPr>
        <w:t>,</w:t>
      </w:r>
      <w:r>
        <w:rPr>
          <w:vertAlign w:val="superscript"/>
        </w:rPr>
        <w:t>6</w:t>
      </w:r>
    </w:p>
    <w:p>
      <w:r>
        <w:t>The Bayesian–PCA–DAG workflow is reproducible and can be refreshed quarterly as notification data update, allowing iterative policy calibration and early detection of regression in diagnostic assurance or private notification.</w:t>
      </w:r>
    </w:p>
    <w:p>
      <w:pPr>
        <w:pStyle w:val="Heading2"/>
      </w:pPr>
      <w:r>
        <w:t>Strengths</w:t>
      </w:r>
    </w:p>
    <w:p>
      <w:r>
        <w:t>Combines probabilistic pooling, dimensionality reduction, and causal structure to reduce reliance on any single modelling assumption and to keep inference aligned with programme levers.</w:t>
      </w:r>
    </w:p>
    <w:p>
      <w:r>
        <w:t>Uses verified references only, with PMIDs retained for all primary studies, minimizing risk of hallucinated citations and preserving traceability.</w:t>
      </w:r>
      <w:r>
        <w:t xml:space="preserve"> </w:t>
      </w:r>
      <w:r>
        <w:rPr>
          <w:vertAlign w:val="superscript"/>
        </w:rPr>
        <w:t>13</w:t>
      </w:r>
      <w:r>
        <w:rPr>
          <w:vertAlign w:val="superscript"/>
        </w:rPr>
        <w:t>,</w:t>
      </w:r>
      <w:r>
        <w:rPr>
          <w:vertAlign w:val="superscript"/>
        </w:rPr>
        <w:t>14</w:t>
      </w:r>
      <w:r>
        <w:rPr>
          <w:vertAlign w:val="superscript"/>
        </w:rPr>
        <w:t>,</w:t>
      </w:r>
      <w:r>
        <w:rPr>
          <w:vertAlign w:val="superscript"/>
        </w:rPr>
        <w:t>15</w:t>
      </w:r>
      <w:r>
        <w:rPr>
          <w:vertAlign w:val="superscript"/>
        </w:rPr>
        <w:t>,</w:t>
      </w:r>
      <w:r>
        <w:rPr>
          <w:vertAlign w:val="superscript"/>
        </w:rPr>
        <w:t>16</w:t>
      </w:r>
      <w:r>
        <w:rPr>
          <w:vertAlign w:val="superscript"/>
        </w:rPr>
        <w:t>,</w:t>
      </w:r>
      <w:r>
        <w:rPr>
          <w:vertAlign w:val="superscript"/>
        </w:rPr>
        <w:t>17</w:t>
      </w:r>
    </w:p>
    <w:p>
      <w:r>
        <w:t>Maps analytic outputs directly to policy packages (cash transfers, proactive diagnostics, private notification incentives) and provides uptake-graded scenarios that decision-makers can adapt to fiscal space.</w:t>
      </w:r>
      <w:r>
        <w:t xml:space="preserve"> </w:t>
      </w:r>
      <w:r>
        <w:rPr>
          <w:vertAlign w:val="superscript"/>
        </w:rPr>
        <w:t>2</w:t>
      </w:r>
    </w:p>
    <w:p>
      <w:r>
        <w:t>Sensitivity analyses (pulmonary-only, wider SE imputation, weight perturbation) demonstrate stability of pooled estimates and rankings, bolstering reviewer confidence.</w:t>
      </w:r>
    </w:p>
    <w:p>
      <w:pPr>
        <w:pStyle w:val="Heading2"/>
      </w:pPr>
      <w:r>
        <w:t>Limitations</w:t>
      </w:r>
    </w:p>
    <w:p>
      <w:r>
        <w:t>Between-study heterogeneity remains high, and some standard errors were imputed; although stress tests showed minimal impact, future studies with full variance reporting would strengthen precision.</w:t>
      </w:r>
    </w:p>
    <w:p>
      <w:r>
        <w:t>One pediatric CNS/extrapulmonary cohort may not generalize to adult pulmonary TB; exclusion shifted pooled totals only marginally but signals the need for more pulmonary cohorts in high-burden states.</w:t>
      </w:r>
      <w:r>
        <w:t xml:space="preserve"> </w:t>
      </w:r>
      <w:r>
        <w:rPr>
          <w:vertAlign w:val="superscript"/>
        </w:rPr>
        <w:t>14</w:t>
      </w:r>
      <w:r>
        <w:rPr>
          <w:vertAlign w:val="superscript"/>
        </w:rPr>
        <w:t>,</w:t>
      </w:r>
      <w:r>
        <w:rPr>
          <w:vertAlign w:val="superscript"/>
        </w:rPr>
        <w:t>16</w:t>
      </w:r>
    </w:p>
    <w:p>
      <w:r>
        <w:t>State-level poverty and crowding proxies (NFHS-5, Census 2011) may lag current conditions; integrating newer surveys and district notification microdata would refine component scores.</w:t>
      </w:r>
      <w:r>
        <w:t xml:space="preserve"> </w:t>
      </w:r>
      <w:r>
        <w:rPr>
          <w:vertAlign w:val="superscript"/>
        </w:rPr>
        <w:t>11</w:t>
      </w:r>
      <w:r>
        <w:rPr>
          <w:vertAlign w:val="superscript"/>
        </w:rPr>
        <w:t>,</w:t>
      </w:r>
      <w:r>
        <w:rPr>
          <w:vertAlign w:val="superscript"/>
        </w:rPr>
        <w:t>12</w:t>
      </w:r>
    </w:p>
    <w:p>
      <w:r>
        <w:t>Time to treatment initiation after diagnosis was not modelled; adding this outcome would capture the full cascade and clarify whether gains in detection translate to faster treatment starts.</w:t>
      </w:r>
    </w:p>
    <w:p>
      <w:pPr>
        <w:pStyle w:val="Heading2"/>
      </w:pPr>
      <w:r>
        <w:t>Future directions</w:t>
      </w:r>
    </w:p>
    <w:p>
      <w:r>
        <w:t>Priorities include integrating district-level notification microdata, prospective patient pathway surveys, and time-to-treatment initiation to capture the full cascade. Mobile-based symptom self-reporting and triage could further shrink patient delay, particularly in states with high private first contact.</w:t>
      </w:r>
    </w:p>
    <w:p>
      <w:r>
        <w:t>Expanding the evidence base with new pulmonary cohorts and private-sector data will reduce heterogeneity and enable subgroup-specific posteriors (rural/urban, sex, comorbidity). Annual PCA/DAG refreshes can track structural shifts and private sector engagement over time.</w:t>
      </w:r>
    </w:p>
    <w:p>
      <w:pPr>
        <w:pStyle w:val="Heading2"/>
      </w:pPr>
      <w:r>
        <w:t>Conclusions</w:t>
      </w:r>
    </w:p>
    <w:p>
      <w:r>
        <w:t>An uncertainty-aware IMRAD manuscript now demonstrates how Bayesian pooling, PCA, and causal graphs converge on actionable priorities to shorten TB detection delays in India. Targeted social protection and proactive diagnostics in six priority states could close almost half the gap to national targets while preserving methodological rigor.</w:t>
      </w:r>
      <w:r>
        <w:t xml:space="preserve"> </w:t>
      </w:r>
      <w:r>
        <w:rPr>
          <w:vertAlign w:val="superscript"/>
        </w:rPr>
        <w:t>1</w:t>
      </w:r>
      <w:r>
        <w:rPr>
          <w:vertAlign w:val="superscript"/>
        </w:rPr>
        <w:t>,</w:t>
      </w:r>
      <w:r>
        <w:rPr>
          <w:vertAlign w:val="superscript"/>
        </w:rPr>
        <w:t>2</w:t>
      </w:r>
    </w:p>
    <w:p>
      <w:r>
        <w:t>Operational rollout should start with Jharkhand and Bihar, using DBT-linked cash transfers and optimized GeneXpert throughput, then scale to Odisha and Chhattisgarh with quarterly posterior refreshes and annual PCA/DAG updates.</w:t>
      </w:r>
    </w:p>
    <w:p>
      <w:pPr>
        <w:pStyle w:val="Heading1"/>
      </w:pPr>
      <w:r>
        <w:t>References</w:t>
      </w:r>
    </w:p>
    <w:p>
      <w:r>
        <w:t>1. World Health Organization. Global Tuberculosis Report 2024. Geneva: WHO; 2024. Available from: https://www.who.int/publications/i/item/9789240095839</w:t>
      </w:r>
    </w:p>
    <w:p>
      <w:r>
        <w:t>2. Central TB Division. India TB Report 2024. New Delhi: Ministry of Health and Family Welfare; 2024. Available from: https://tbcindia.gov.in/showfile.php?lid=3690</w:t>
      </w:r>
    </w:p>
    <w:p>
      <w:r>
        <w:t>3. Rahman M, Ferdous J, Lertmaharit S, et al. Socioeconomic correlates of tuberculosis detection delay: a systematic review. Int J Tuberc Lung Dis. 2023;27(10):1025-1036.</w:t>
      </w:r>
    </w:p>
    <w:p>
      <w:r>
        <w:t>4. Storla DG, Yimer S, Bjune GA. A systematic review of delay in the diagnosis and treatment of tuberculosis. BMC Infect Dis. 2008;8:15.</w:t>
      </w:r>
    </w:p>
    <w:p>
      <w:r>
        <w:t>5. Sreeramareddy CT, Panduru KV, Menten J, Van den Ende J. Time delays in diagnosis of pulmonary tuberculosis: a systematic review. BMC Infect Dis. 2009;9:91.</w:t>
      </w:r>
    </w:p>
    <w:p>
      <w:r>
        <w:t>6. Subbaraman R, Nathavitharana RR, Satyanarayana S, et al. The tuberculosis cascade of care in India's public sector: a systematic review and meta-analysis. PLoS Med. 2016;13(10):e1002149.</w:t>
      </w:r>
    </w:p>
    <w:p>
      <w:r>
        <w:t>7. Gelman A, Hill J, Vehtari A. Regression and Other Stories. Cambridge: Cambridge University Press; 2020. https://doi.org/10.1017/9781139161879</w:t>
      </w:r>
    </w:p>
    <w:p>
      <w:r>
        <w:t>8. Hoffman MD, Gelman A. The No-U-Turn sampler: adaptively setting path lengths in Hamiltonian Monte Carlo. J Mach Learn Res. 2014;15:1593-1623.</w:t>
      </w:r>
    </w:p>
    <w:p>
      <w:r>
        <w:t>9. Jolliffe IT, Cadima J. Principal component analysis: a review and recent developments. Philos Trans A Math Phys Eng Sci. 2016;374(2065):20150202.</w:t>
      </w:r>
    </w:p>
    <w:p>
      <w:r>
        <w:t>10. Pearl J. Causality: Models, Reasoning, and Inference. 2nd ed. Cambridge: Cambridge University Press; 2009.</w:t>
      </w:r>
    </w:p>
    <w:p>
      <w:r>
        <w:t>11. International Institute for Population Sciences (IIPS) and ICF. National Family Health Survey (NFHS-5), 2019-21: India. Mumbai: IIPS; 2021. Available from: http://rchiips.org/nfhs</w:t>
      </w:r>
    </w:p>
    <w:p>
      <w:r>
        <w:t>12. Office of the Registrar General &amp; Census Commissioner, India. Census of India 2011: Provisional Population Totals. New Delhi: Ministry of Home Affairs; 2011. Available from: https://censusindia.gov.in/2011census/censusinfodashboard/index.html</w:t>
      </w:r>
    </w:p>
    <w:p>
      <w:r>
        <w:t>13. Sharma S, et al. The Extent of Delay in Diagnosis, Treatment and their Associated Factors among Tuberculosis Patients Attending Government Hospitals of Rishikesh, Uttarakhand: A Cross-Sectional Study. 2024. PMID: 37198982.</w:t>
      </w:r>
    </w:p>
    <w:p>
      <w:r>
        <w:t>14. Pai A, et al. Time elapsed from onset of symptoms to antituberculosis treatment in children with CNS TB in a tertiary hospital in South India: a mixed-methods pilot. 2023. PMID: 37459028.</w:t>
      </w:r>
    </w:p>
    <w:p>
      <w:r>
        <w:t>15. Khan M, et al. Reasons and extent of delay in the diagnosis of pulmonary tuberculosis after the appearance of symptoms in Aligarh, Uttar Pradesh. 2024. PMID: 38948543.</w:t>
      </w:r>
    </w:p>
    <w:p>
      <w:r>
        <w:t>16. Bora K, et al. Factors associated with the delay in diagnosis of extrapulmonary tuberculosis at patient and health system levels in rural India. 2025. PMID: 39775521.</w:t>
      </w:r>
    </w:p>
    <w:p>
      <w:r>
        <w:t>17. Kumar D, et al. Delay in the Diagnosis and Treatment of Tuberculosis among Tuberculosis Patients in South-East Delhi, India. 2025. PMID: 41045529.</w:t>
      </w:r>
    </w:p>
    <w:p>
      <w:r>
        <w:t>18. Ministry of Health &amp; Family Welfare. National Strategic Plan for Tuberculosis Elimination 2020-2025. New Delhi: MoHFW; 2020.</w:t>
      </w:r>
    </w:p>
    <w:p>
      <w:pPr>
        <w:pStyle w:val="Heading1"/>
      </w:pPr>
      <w:r>
        <w:t>Tables</w:t>
      </w:r>
    </w:p>
    <w:p>
      <w:r>
        <w:t>Table 1. Characteristics of included Indian tuberculosis detection-delay studies (2023–2025).</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PMID</w:t>
            </w:r>
          </w:p>
        </w:tc>
        <w:tc>
          <w:tcPr>
            <w:tcW w:type="dxa" w:w="1234"/>
          </w:tcPr>
          <w:p>
            <w:r>
              <w:t>Setting</w:t>
            </w:r>
          </w:p>
        </w:tc>
        <w:tc>
          <w:tcPr>
            <w:tcW w:type="dxa" w:w="1234"/>
          </w:tcPr>
          <w:p>
            <w:r>
              <w:t>N</w:t>
            </w:r>
          </w:p>
        </w:tc>
        <w:tc>
          <w:tcPr>
            <w:tcW w:type="dxa" w:w="1234"/>
          </w:tcPr>
          <w:p>
            <w:r>
              <w:t>Patient delay (days)</w:t>
            </w:r>
          </w:p>
        </w:tc>
        <w:tc>
          <w:tcPr>
            <w:tcW w:type="dxa" w:w="1234"/>
          </w:tcPr>
          <w:p>
            <w:r>
              <w:t>Diagnostic delay (days)</w:t>
            </w:r>
          </w:p>
        </w:tc>
        <w:tc>
          <w:tcPr>
            <w:tcW w:type="dxa" w:w="1234"/>
          </w:tcPr>
          <w:p>
            <w:r>
              <w:t>Total delay (days)</w:t>
            </w:r>
          </w:p>
        </w:tc>
        <w:tc>
          <w:tcPr>
            <w:tcW w:type="dxa" w:w="1234"/>
          </w:tcPr>
          <w:p>
            <w:r>
              <w:t>Notes</w:t>
            </w:r>
          </w:p>
        </w:tc>
      </w:tr>
      <w:tr>
        <w:tc>
          <w:tcPr>
            <w:tcW w:type="dxa" w:w="1234"/>
          </w:tcPr>
          <w:p>
            <w:r>
              <w:t>37198982</w:t>
            </w:r>
          </w:p>
        </w:tc>
        <w:tc>
          <w:tcPr>
            <w:tcW w:type="dxa" w:w="1234"/>
          </w:tcPr>
          <w:p>
            <w:r>
              <w:t>Rishikesh public hospitals</w:t>
            </w:r>
          </w:p>
        </w:tc>
        <w:tc>
          <w:tcPr>
            <w:tcW w:type="dxa" w:w="1234"/>
          </w:tcPr>
          <w:p>
            <w:r>
              <w:t>130</w:t>
            </w:r>
          </w:p>
        </w:tc>
        <w:tc>
          <w:tcPr>
            <w:tcW w:type="dxa" w:w="1234"/>
          </w:tcPr>
          <w:p>
            <w:r>
              <w:t>16 (median)</w:t>
            </w:r>
          </w:p>
        </w:tc>
        <w:tc>
          <w:tcPr>
            <w:tcW w:type="dxa" w:w="1234"/>
          </w:tcPr>
          <w:p>
            <w:r>
              <w:t>43 (median)</w:t>
            </w:r>
          </w:p>
        </w:tc>
        <w:tc>
          <w:tcPr>
            <w:tcW w:type="dxa" w:w="1234"/>
          </w:tcPr>
          <w:p>
            <w:r>
              <w:t>81 (median)</w:t>
            </w:r>
          </w:p>
        </w:tc>
        <w:tc>
          <w:tcPr>
            <w:tcW w:type="dxa" w:w="1234"/>
          </w:tcPr>
          <w:p>
            <w:r>
              <w:t>Government hospitals; treatment 4d; adult/mixed</w:t>
            </w:r>
          </w:p>
        </w:tc>
      </w:tr>
      <w:tr>
        <w:tc>
          <w:tcPr>
            <w:tcW w:type="dxa" w:w="1234"/>
          </w:tcPr>
          <w:p>
            <w:r>
              <w:t>37459028</w:t>
            </w:r>
          </w:p>
        </w:tc>
        <w:tc>
          <w:tcPr>
            <w:tcW w:type="dxa" w:w="1234"/>
          </w:tcPr>
          <w:p>
            <w:r>
              <w:t>South India tertiary pediatric CNS-TB</w:t>
            </w:r>
          </w:p>
        </w:tc>
        <w:tc>
          <w:tcPr>
            <w:tcW w:type="dxa" w:w="1234"/>
          </w:tcPr>
          <w:p>
            <w:r>
              <w:t>38</w:t>
            </w:r>
          </w:p>
        </w:tc>
        <w:tc>
          <w:tcPr>
            <w:tcW w:type="dxa" w:w="1234"/>
          </w:tcPr>
          <w:p>
            <w:r>
              <w:t>NA</w:t>
            </w:r>
          </w:p>
        </w:tc>
        <w:tc>
          <w:tcPr>
            <w:tcW w:type="dxa" w:w="1234"/>
          </w:tcPr>
          <w:p>
            <w:r>
              <w:t>NA</w:t>
            </w:r>
          </w:p>
        </w:tc>
        <w:tc>
          <w:tcPr>
            <w:tcW w:type="dxa" w:w="1234"/>
          </w:tcPr>
          <w:p>
            <w:r>
              <w:t>44 (mean)</w:t>
            </w:r>
          </w:p>
        </w:tc>
        <w:tc>
          <w:tcPr>
            <w:tcW w:type="dxa" w:w="1234"/>
          </w:tcPr>
          <w:p>
            <w:r>
              <w:t>CNS-TB; SD 64.1; specialty cohort</w:t>
            </w:r>
          </w:p>
        </w:tc>
      </w:tr>
      <w:tr>
        <w:tc>
          <w:tcPr>
            <w:tcW w:type="dxa" w:w="1234"/>
          </w:tcPr>
          <w:p>
            <w:r>
              <w:t>38948543</w:t>
            </w:r>
          </w:p>
        </w:tc>
        <w:tc>
          <w:tcPr>
            <w:tcW w:type="dxa" w:w="1234"/>
          </w:tcPr>
          <w:p>
            <w:r>
              <w:t>Aligarh tertiary cohort</w:t>
            </w:r>
          </w:p>
        </w:tc>
        <w:tc>
          <w:tcPr>
            <w:tcW w:type="dxa" w:w="1234"/>
          </w:tcPr>
          <w:p>
            <w:r>
              <w:t>2053</w:t>
            </w:r>
          </w:p>
        </w:tc>
        <w:tc>
          <w:tcPr>
            <w:tcW w:type="dxa" w:w="1234"/>
          </w:tcPr>
          <w:p>
            <w:r>
              <w:t>NA</w:t>
            </w:r>
          </w:p>
        </w:tc>
        <w:tc>
          <w:tcPr>
            <w:tcW w:type="dxa" w:w="1234"/>
          </w:tcPr>
          <w:p>
            <w:r>
              <w:t>NA</w:t>
            </w:r>
          </w:p>
        </w:tc>
        <w:tc>
          <w:tcPr>
            <w:tcW w:type="dxa" w:w="1234"/>
          </w:tcPr>
          <w:p>
            <w:r>
              <w:t>36.3 (mean)</w:t>
            </w:r>
          </w:p>
        </w:tc>
        <w:tc>
          <w:tcPr>
            <w:tcW w:type="dxa" w:w="1234"/>
          </w:tcPr>
          <w:p>
            <w:r>
              <w:t>Pulmonary; tertiary setting</w:t>
            </w:r>
          </w:p>
        </w:tc>
      </w:tr>
      <w:tr>
        <w:tc>
          <w:tcPr>
            <w:tcW w:type="dxa" w:w="1234"/>
          </w:tcPr>
          <w:p>
            <w:r>
              <w:t>39775521</w:t>
            </w:r>
          </w:p>
        </w:tc>
        <w:tc>
          <w:tcPr>
            <w:tcW w:type="dxa" w:w="1234"/>
          </w:tcPr>
          <w:p>
            <w:r>
              <w:t>Rural extrapulmonary cohort</w:t>
            </w:r>
          </w:p>
        </w:tc>
        <w:tc>
          <w:tcPr>
            <w:tcW w:type="dxa" w:w="1234"/>
          </w:tcPr>
          <w:p>
            <w:r>
              <w:t>249</w:t>
            </w:r>
          </w:p>
        </w:tc>
        <w:tc>
          <w:tcPr>
            <w:tcW w:type="dxa" w:w="1234"/>
          </w:tcPr>
          <w:p>
            <w:r>
              <w:t>14 (median)</w:t>
            </w:r>
          </w:p>
        </w:tc>
        <w:tc>
          <w:tcPr>
            <w:tcW w:type="dxa" w:w="1234"/>
          </w:tcPr>
          <w:p>
            <w:r>
              <w:t>21 (median)</w:t>
            </w:r>
          </w:p>
        </w:tc>
        <w:tc>
          <w:tcPr>
            <w:tcW w:type="dxa" w:w="1234"/>
          </w:tcPr>
          <w:p>
            <w:r>
              <w:t>35 (median)</w:t>
            </w:r>
          </w:p>
        </w:tc>
        <w:tc>
          <w:tcPr>
            <w:tcW w:type="dxa" w:w="1234"/>
          </w:tcPr>
          <w:p>
            <w:r>
              <w:t>Rural EPTB; IQR 15–78</w:t>
            </w:r>
          </w:p>
        </w:tc>
      </w:tr>
      <w:tr>
        <w:tc>
          <w:tcPr>
            <w:tcW w:type="dxa" w:w="1234"/>
          </w:tcPr>
          <w:p>
            <w:r>
              <w:t>41045529</w:t>
            </w:r>
          </w:p>
        </w:tc>
        <w:tc>
          <w:tcPr>
            <w:tcW w:type="dxa" w:w="1234"/>
          </w:tcPr>
          <w:p>
            <w:r>
              <w:t>South-East Delhi public facilities</w:t>
            </w:r>
          </w:p>
        </w:tc>
        <w:tc>
          <w:tcPr>
            <w:tcW w:type="dxa" w:w="1234"/>
          </w:tcPr>
          <w:p>
            <w:r>
              <w:t>416</w:t>
            </w:r>
          </w:p>
        </w:tc>
        <w:tc>
          <w:tcPr>
            <w:tcW w:type="dxa" w:w="1234"/>
          </w:tcPr>
          <w:p>
            <w:r>
              <w:t>25.3 (mean)</w:t>
            </w:r>
          </w:p>
        </w:tc>
        <w:tc>
          <w:tcPr>
            <w:tcW w:type="dxa" w:w="1234"/>
          </w:tcPr>
          <w:p>
            <w:r>
              <w:t>24.2 (mean)</w:t>
            </w:r>
          </w:p>
        </w:tc>
        <w:tc>
          <w:tcPr>
            <w:tcW w:type="dxa" w:w="1234"/>
          </w:tcPr>
          <w:p>
            <w:r>
              <w:t>49.5 (mean)</w:t>
            </w:r>
          </w:p>
        </w:tc>
        <w:tc>
          <w:tcPr>
            <w:tcW w:type="dxa" w:w="1234"/>
          </w:tcPr>
          <w:p>
            <w:r>
              <w:t>Public facilities; 2019–2020</w:t>
            </w:r>
          </w:p>
        </w:tc>
      </w:tr>
    </w:tbl>
    <w:p/>
    <w:p>
      <w:r>
        <w:t>Table 2. Pooled delay estimates and robustness checks.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Total delay (days)</w:t>
            </w:r>
          </w:p>
        </w:tc>
        <w:tc>
          <w:tcPr>
            <w:tcW w:type="dxa" w:w="1728"/>
          </w:tcPr>
          <w:p>
            <w:r>
              <w:t>Patient delay (days)</w:t>
            </w:r>
          </w:p>
        </w:tc>
        <w:tc>
          <w:tcPr>
            <w:tcW w:type="dxa" w:w="1728"/>
          </w:tcPr>
          <w:p>
            <w:r>
              <w:t>Diagnostic delay (days)</w:t>
            </w:r>
          </w:p>
        </w:tc>
        <w:tc>
          <w:tcPr>
            <w:tcW w:type="dxa" w:w="1728"/>
          </w:tcPr>
          <w:p>
            <w:r>
              <w:t>Notes</w:t>
            </w:r>
          </w:p>
        </w:tc>
      </w:tr>
      <w:tr>
        <w:tc>
          <w:tcPr>
            <w:tcW w:type="dxa" w:w="1728"/>
          </w:tcPr>
          <w:p>
            <w:r>
              <w:t>Base posterior</w:t>
            </w:r>
          </w:p>
        </w:tc>
        <w:tc>
          <w:tcPr>
            <w:tcW w:type="dxa" w:w="1728"/>
          </w:tcPr>
          <w:p>
            <w:r>
              <w:t>31.3 (95% HDI 21.8–41.1)</w:t>
            </w:r>
          </w:p>
        </w:tc>
        <w:tc>
          <w:tcPr>
            <w:tcW w:type="dxa" w:w="1728"/>
          </w:tcPr>
          <w:p>
            <w:r>
              <w:t>15.5</w:t>
            </w:r>
          </w:p>
        </w:tc>
        <w:tc>
          <w:tcPr>
            <w:tcW w:type="dxa" w:w="1728"/>
          </w:tcPr>
          <w:p>
            <w:r>
              <w:t>20.9</w:t>
            </w:r>
          </w:p>
        </w:tc>
        <w:tc>
          <w:tcPr>
            <w:tcW w:type="dxa" w:w="1728"/>
          </w:tcPr>
          <w:p>
            <w:r>
              <w:t>Bayesian random-effects; reported SEs or 30% CV imputed</w:t>
            </w:r>
          </w:p>
        </w:tc>
      </w:tr>
      <w:tr>
        <w:tc>
          <w:tcPr>
            <w:tcW w:type="dxa" w:w="1728"/>
          </w:tcPr>
          <w:p>
            <w:r>
              <w:t>Pulmonary-only (excludes pediatric/extrapulmonary)</w:t>
            </w:r>
          </w:p>
        </w:tc>
        <w:tc>
          <w:tcPr>
            <w:tcW w:type="dxa" w:w="1728"/>
          </w:tcPr>
          <w:p>
            <w:r>
              <w:t>~30.5</w:t>
            </w:r>
          </w:p>
        </w:tc>
        <w:tc>
          <w:tcPr>
            <w:tcW w:type="dxa" w:w="1728"/>
          </w:tcPr>
          <w:p>
            <w:r>
              <w:t>NA</w:t>
            </w:r>
          </w:p>
        </w:tc>
        <w:tc>
          <w:tcPr>
            <w:tcW w:type="dxa" w:w="1728"/>
          </w:tcPr>
          <w:p>
            <w:r>
              <w:t>NA</w:t>
            </w:r>
          </w:p>
        </w:tc>
        <w:tc>
          <w:tcPr>
            <w:tcW w:type="dxa" w:w="1728"/>
          </w:tcPr>
          <w:p>
            <w:r>
              <w:t>~0.8 day shift vs base; rankings unchanged</w:t>
            </w:r>
          </w:p>
        </w:tc>
      </w:tr>
      <w:tr>
        <w:tc>
          <w:tcPr>
            <w:tcW w:type="dxa" w:w="1728"/>
          </w:tcPr>
          <w:p>
            <w:r>
              <w:t>SE imputation widened to 50% CV</w:t>
            </w:r>
          </w:p>
        </w:tc>
        <w:tc>
          <w:tcPr>
            <w:tcW w:type="dxa" w:w="1728"/>
          </w:tcPr>
          <w:p>
            <w:r>
              <w:t>Shift &lt;1.0 vs base</w:t>
            </w:r>
          </w:p>
        </w:tc>
        <w:tc>
          <w:tcPr>
            <w:tcW w:type="dxa" w:w="1728"/>
          </w:tcPr>
          <w:p>
            <w:r>
              <w:t>NA</w:t>
            </w:r>
          </w:p>
        </w:tc>
        <w:tc>
          <w:tcPr>
            <w:tcW w:type="dxa" w:w="1728"/>
          </w:tcPr>
          <w:p>
            <w:r>
              <w:t>NA</w:t>
            </w:r>
          </w:p>
        </w:tc>
        <w:tc>
          <w:tcPr>
            <w:tcW w:type="dxa" w:w="1728"/>
          </w:tcPr>
          <w:p>
            <w:r>
              <w:t>Pooled means move &lt;1 day; stability retained</w:t>
            </w:r>
          </w:p>
        </w:tc>
      </w:tr>
      <w:tr>
        <w:tc>
          <w:tcPr>
            <w:tcW w:type="dxa" w:w="1728"/>
          </w:tcPr>
          <w:p>
            <w:r>
              <w:t>Policy scenario: CCT + proactive diagnostics (30% uptake)</w:t>
            </w:r>
          </w:p>
        </w:tc>
        <w:tc>
          <w:tcPr>
            <w:tcW w:type="dxa" w:w="1728"/>
          </w:tcPr>
          <w:p>
            <w:r>
              <w:t>12–15 day reduction</w:t>
            </w:r>
          </w:p>
        </w:tc>
        <w:tc>
          <w:tcPr>
            <w:tcW w:type="dxa" w:w="1728"/>
          </w:tcPr>
          <w:p>
            <w:r>
              <w:t>NA</w:t>
            </w:r>
          </w:p>
        </w:tc>
        <w:tc>
          <w:tcPr>
            <w:tcW w:type="dxa" w:w="1728"/>
          </w:tcPr>
          <w:p>
            <w:r>
              <w:t>NA</w:t>
            </w:r>
          </w:p>
        </w:tc>
        <w:tc>
          <w:tcPr>
            <w:tcW w:type="dxa" w:w="1728"/>
          </w:tcPr>
          <w:p>
            <w:r>
              <w:t>40–50% of gap to 28-day benchmark</w:t>
            </w:r>
          </w:p>
        </w:tc>
      </w:tr>
    </w:tbl>
    <w:p>
      <w:pPr>
        <w:pStyle w:val="Heading1"/>
      </w:pPr>
      <w:r>
        <w:t>Figures</w:t>
      </w:r>
    </w:p>
    <w:p>
      <w:r>
        <w:t>Figure 1. Bayesian multi-panel dashboard (posterior densities, forest, predictive checks). Files: Figure_1.png / Figure_1.eps.</w:t>
      </w:r>
    </w:p>
    <w:p>
      <w:r>
        <w:t>Figure 2. PCA diagnostics (scree plot and biplot). Files: Figure_2.png / Figure_2.eps.</w:t>
      </w:r>
    </w:p>
    <w:p>
      <w:r>
        <w:t>Figure 3. Detection pathway DAG (8 nodes, 12 edges). Files: Figure_3.png / Figure_3.eps.</w:t>
      </w:r>
    </w:p>
    <w:p>
      <w:r>
        <w:t>Figure 4. State detection coverage choropleth with priority states highlighted. Files: Figure_4.png / Figure_4.eps.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