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Tuberculosis Journal Submission Notes</w:t>
      </w:r>
    </w:p>
    <w:p>
      <w:r>
        <w:rPr>
          <w:b w:val="0"/>
        </w:rPr>
        <w:t>Target journal: Tuberculosis</w:t>
      </w:r>
    </w:p>
    <w:p>
      <w:r>
        <w:rPr>
          <w:b w:val="0"/>
        </w:rPr>
        <w:t>Article type: Original Article</w:t>
      </w:r>
    </w:p>
    <w:p>
      <w:r>
        <w:rPr>
          <w:b w:val="0"/>
        </w:rPr>
      </w:r>
    </w:p>
    <w:p>
      <w:r>
        <w:rPr>
          <w:b/>
        </w:rPr>
        <w:t>Journal-fit note</w:t>
      </w:r>
    </w:p>
    <w:p>
      <w:pPr>
        <w:pStyle w:val="ListBullet"/>
      </w:pPr>
      <w:r>
        <w:t>The manuscript centers on host response and immunology in tuberculosis using a prospective repeated-measures blood RNA-sequencing cohort.</w:t>
      </w:r>
    </w:p>
    <w:p>
      <w:pPr>
        <w:pStyle w:val="ListBullet"/>
      </w:pPr>
      <w:r>
        <w:t>The framing is longitudinal biology and pathogenesis-oriented, not a literature-only meta-analysis.</w:t>
      </w:r>
    </w:p>
    <w:p>
      <w:pPr>
        <w:pStyle w:val="ListBullet"/>
      </w:pPr>
      <w:r>
        <w:t>The strongest findings concern coordinated host-response programs rather than a generic public-database ranking exercise.</w:t>
      </w:r>
    </w:p>
    <w:p>
      <w:r>
        <w:rPr>
          <w:b w:val="0"/>
        </w:rPr>
      </w:r>
    </w:p>
    <w:p>
      <w:r>
        <w:rPr>
          <w:b/>
        </w:rPr>
        <w:t>Elsevier-specific points addressed</w:t>
      </w:r>
    </w:p>
    <w:p>
      <w:pPr>
        <w:pStyle w:val="ListBullet"/>
      </w:pPr>
      <w:r>
        <w:t>Separate title page prepared.</w:t>
      </w:r>
    </w:p>
    <w:p>
      <w:pPr>
        <w:pStyle w:val="ListBullet"/>
      </w:pPr>
      <w:r>
        <w:t>Highlights included as a separate file.</w:t>
      </w:r>
    </w:p>
    <w:p>
      <w:pPr>
        <w:pStyle w:val="ListBullet"/>
      </w:pPr>
      <w:r>
        <w:t>Data availability statement retained in the manuscript.</w:t>
      </w:r>
    </w:p>
    <w:p>
      <w:pPr>
        <w:pStyle w:val="ListBullet"/>
      </w:pPr>
      <w:r>
        <w:t>Generative AI disclosure retained at the end of the manuscript before references.</w:t>
      </w:r>
    </w:p>
    <w:p>
      <w:pPr>
        <w:pStyle w:val="ListBullet"/>
      </w:pPr>
      <w:r>
        <w:t>Figures and tables currently embedded for review; they can be split at upload if preferred.</w:t>
      </w:r>
    </w:p>
    <w:p>
      <w:r>
        <w:rPr>
          <w:b w:val="0"/>
        </w:rPr>
      </w:r>
    </w:p>
    <w:p>
      <w:r>
        <w:rPr>
          <w:b/>
        </w:rPr>
        <w:t>Repository</w:t>
      </w:r>
    </w:p>
    <w:p>
      <w:r>
        <w:rPr>
          <w:b w:val="0"/>
        </w:rPr>
        <w:t>https://github.com/hssling/tb-progression-transcriptome-meta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