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rPr>
          <w:b w:val="0"/>
        </w:rPr>
        <w:t>Prepared for optional Elsevier highlights upload.</w:t>
      </w:r>
    </w:p>
    <w:p>
      <w:r>
        <w:rPr>
          <w:b w:val="0"/>
        </w:rPr>
        <w:t>- Public TB transcriptomic cohorts supported reproducible progression-signal discovery.</w:t>
      </w:r>
    </w:p>
    <w:p>
      <w:r>
        <w:rPr>
          <w:b w:val="0"/>
        </w:rPr>
        <w:t>- A 25-gene host signature was led by MILR1, VSIG4, CCR2, CD36, and FZD5.</w:t>
      </w:r>
    </w:p>
    <w:p>
      <w:r>
        <w:rPr>
          <w:b w:val="0"/>
        </w:rPr>
        <w:t>- Best leave-one-cohort-out performance reached AUC-ROC 0.914 in GSE107994.</w:t>
      </w:r>
    </w:p>
    <w:p>
      <w:r>
        <w:rPr>
          <w:b w:val="0"/>
        </w:rPr>
        <w:t>- Biological signals suggested phagocytosis, myeloid activation, and immune regulation.</w:t>
      </w:r>
    </w:p>
    <w:p>
      <w:r>
        <w:rPr>
          <w:b w:val="0"/>
        </w:rPr>
        <w:t>- Current evidence supports biomarker discovery, not immediate clinical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