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OmicsClaw-Informed Extension Analyses</w:t>
      </w:r>
    </w:p>
    <w:p>
      <w:r>
        <w:rPr>
          <w:b w:val="0"/>
        </w:rPr>
        <w:t>This supplement summarizes two additional analysis layers inspired by OmicsClaw bulk-RNA workflows: marker-based NNLS deconvolution and WGCNA-style coexpression analysis.</w:t>
      </w:r>
    </w:p>
    <w:p>
      <w:r>
        <w:rPr>
          <w:b w:val="0"/>
        </w:rPr>
        <w:t>These outputs are intended to add biological context to the advanced tuberculosis progression manuscript. They should be interpreted as supportive analyses rather than stand-alone validation of mechanism.</w:t>
      </w:r>
    </w:p>
    <w:p>
      <w:pPr>
        <w:pStyle w:val="Heading1"/>
      </w:pPr>
      <w:r>
        <w:t>Immune Deconvolution</w:t>
      </w:r>
    </w:p>
    <w:p>
      <w:r>
        <w:rPr>
          <w:b w:val="0"/>
        </w:rPr>
        <w:t>A conservative NNLS framework was applied using canonical blood-cell marker genes present in the shared-gene matrix. The resulting coefficients are best interpreted as relative composition proxies.</w:t>
      </w:r>
    </w:p>
    <w:p>
      <w:r>
        <w:rPr>
          <w:b w:val="0"/>
        </w:rPr>
        <w:t>Supplementary Table A1. NNLS-derived cell-type score summary. These values are marker-based composition proxies rather than measured cell fractions.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Cell type</w:t>
            </w:r>
          </w:p>
        </w:tc>
        <w:tc>
          <w:tcPr>
            <w:tcW w:type="dxa" w:w="1560"/>
          </w:tcPr>
          <w:p>
            <w:r>
              <w:t>Mean progressor</w:t>
            </w:r>
          </w:p>
        </w:tc>
        <w:tc>
          <w:tcPr>
            <w:tcW w:type="dxa" w:w="1560"/>
          </w:tcPr>
          <w:p>
            <w:r>
              <w:t>Mean non-progressor</w:t>
            </w:r>
          </w:p>
        </w:tc>
        <w:tc>
          <w:tcPr>
            <w:tcW w:type="dxa" w:w="1560"/>
          </w:tcPr>
          <w:p>
            <w:r>
              <w:t>Delta</w:t>
            </w:r>
          </w:p>
        </w:tc>
        <w:tc>
          <w:tcPr>
            <w:tcW w:type="dxa" w:w="1560"/>
          </w:tcPr>
          <w:p>
            <w:r>
              <w:t>p value</w:t>
            </w:r>
          </w:p>
        </w:tc>
        <w:tc>
          <w:tcPr>
            <w:tcW w:type="dxa" w:w="1560"/>
          </w:tcPr>
          <w:p>
            <w:r>
              <w:t>FDR</w:t>
            </w:r>
          </w:p>
        </w:tc>
      </w:tr>
      <w:tr>
        <w:tc>
          <w:tcPr>
            <w:tcW w:type="dxa" w:w="1560"/>
          </w:tcPr>
          <w:p>
            <w:r>
              <w:t>Monocyte</w:t>
            </w:r>
          </w:p>
        </w:tc>
        <w:tc>
          <w:tcPr>
            <w:tcW w:type="dxa" w:w="1560"/>
          </w:tcPr>
          <w:p>
            <w:r>
              <w:t>0.183</w:t>
            </w:r>
          </w:p>
        </w:tc>
        <w:tc>
          <w:tcPr>
            <w:tcW w:type="dxa" w:w="1560"/>
          </w:tcPr>
          <w:p>
            <w:r>
              <w:t>0.148</w:t>
            </w:r>
          </w:p>
        </w:tc>
        <w:tc>
          <w:tcPr>
            <w:tcW w:type="dxa" w:w="1560"/>
          </w:tcPr>
          <w:p>
            <w:r>
              <w:t>0.035</w:t>
            </w:r>
          </w:p>
        </w:tc>
        <w:tc>
          <w:tcPr>
            <w:tcW w:type="dxa" w:w="1560"/>
          </w:tcPr>
          <w:p>
            <w:r>
              <w:t>2.08e-14</w:t>
            </w:r>
          </w:p>
        </w:tc>
        <w:tc>
          <w:tcPr>
            <w:tcW w:type="dxa" w:w="1560"/>
          </w:tcPr>
          <w:p>
            <w:r>
              <w:t>1.25e-13</w:t>
            </w:r>
          </w:p>
        </w:tc>
      </w:tr>
      <w:tr>
        <w:tc>
          <w:tcPr>
            <w:tcW w:type="dxa" w:w="1560"/>
          </w:tcPr>
          <w:p>
            <w:r>
              <w:t>T_cell</w:t>
            </w:r>
          </w:p>
        </w:tc>
        <w:tc>
          <w:tcPr>
            <w:tcW w:type="dxa" w:w="1560"/>
          </w:tcPr>
          <w:p>
            <w:r>
              <w:t>0.156</w:t>
            </w:r>
          </w:p>
        </w:tc>
        <w:tc>
          <w:tcPr>
            <w:tcW w:type="dxa" w:w="1560"/>
          </w:tcPr>
          <w:p>
            <w:r>
              <w:t>0.190</w:t>
            </w:r>
          </w:p>
        </w:tc>
        <w:tc>
          <w:tcPr>
            <w:tcW w:type="dxa" w:w="1560"/>
          </w:tcPr>
          <w:p>
            <w:r>
              <w:t>-0.034</w:t>
            </w:r>
          </w:p>
        </w:tc>
        <w:tc>
          <w:tcPr>
            <w:tcW w:type="dxa" w:w="1560"/>
          </w:tcPr>
          <w:p>
            <w:r>
              <w:t>1.88e-12</w:t>
            </w:r>
          </w:p>
        </w:tc>
        <w:tc>
          <w:tcPr>
            <w:tcW w:type="dxa" w:w="1560"/>
          </w:tcPr>
          <w:p>
            <w:r>
              <w:t>5.65e-12</w:t>
            </w:r>
          </w:p>
        </w:tc>
      </w:tr>
      <w:tr>
        <w:tc>
          <w:tcPr>
            <w:tcW w:type="dxa" w:w="1560"/>
          </w:tcPr>
          <w:p>
            <w:r>
              <w:t>Platelet</w:t>
            </w:r>
          </w:p>
        </w:tc>
        <w:tc>
          <w:tcPr>
            <w:tcW w:type="dxa" w:w="1560"/>
          </w:tcPr>
          <w:p>
            <w:r>
              <w:t>0.177</w:t>
            </w:r>
          </w:p>
        </w:tc>
        <w:tc>
          <w:tcPr>
            <w:tcW w:type="dxa" w:w="1560"/>
          </w:tcPr>
          <w:p>
            <w:r>
              <w:t>0.144</w:t>
            </w:r>
          </w:p>
        </w:tc>
        <w:tc>
          <w:tcPr>
            <w:tcW w:type="dxa" w:w="1560"/>
          </w:tcPr>
          <w:p>
            <w:r>
              <w:t>0.033</w:t>
            </w:r>
          </w:p>
        </w:tc>
        <w:tc>
          <w:tcPr>
            <w:tcW w:type="dxa" w:w="1560"/>
          </w:tcPr>
          <w:p>
            <w:r>
              <w:t>5.55e-11</w:t>
            </w:r>
          </w:p>
        </w:tc>
        <w:tc>
          <w:tcPr>
            <w:tcW w:type="dxa" w:w="1560"/>
          </w:tcPr>
          <w:p>
            <w:r>
              <w:t>1.11e-10</w:t>
            </w:r>
          </w:p>
        </w:tc>
      </w:tr>
      <w:tr>
        <w:tc>
          <w:tcPr>
            <w:tcW w:type="dxa" w:w="1560"/>
          </w:tcPr>
          <w:p>
            <w:r>
              <w:t>B_cell</w:t>
            </w:r>
          </w:p>
        </w:tc>
        <w:tc>
          <w:tcPr>
            <w:tcW w:type="dxa" w:w="1560"/>
          </w:tcPr>
          <w:p>
            <w:r>
              <w:t>0.163</w:t>
            </w:r>
          </w:p>
        </w:tc>
        <w:tc>
          <w:tcPr>
            <w:tcW w:type="dxa" w:w="1560"/>
          </w:tcPr>
          <w:p>
            <w:r>
              <w:t>0.190</w:t>
            </w:r>
          </w:p>
        </w:tc>
        <w:tc>
          <w:tcPr>
            <w:tcW w:type="dxa" w:w="1560"/>
          </w:tcPr>
          <w:p>
            <w:r>
              <w:t>-0.027</w:t>
            </w:r>
          </w:p>
        </w:tc>
        <w:tc>
          <w:tcPr>
            <w:tcW w:type="dxa" w:w="1560"/>
          </w:tcPr>
          <w:p>
            <w:r>
              <w:t>3.18e-09</w:t>
            </w:r>
          </w:p>
        </w:tc>
        <w:tc>
          <w:tcPr>
            <w:tcW w:type="dxa" w:w="1560"/>
          </w:tcPr>
          <w:p>
            <w:r>
              <w:t>4.77e-09</w:t>
            </w:r>
          </w:p>
        </w:tc>
      </w:tr>
      <w:tr>
        <w:tc>
          <w:tcPr>
            <w:tcW w:type="dxa" w:w="1560"/>
          </w:tcPr>
          <w:p>
            <w:r>
              <w:t>NK_cell</w:t>
            </w:r>
          </w:p>
        </w:tc>
        <w:tc>
          <w:tcPr>
            <w:tcW w:type="dxa" w:w="1560"/>
          </w:tcPr>
          <w:p>
            <w:r>
              <w:t>0.138</w:t>
            </w:r>
          </w:p>
        </w:tc>
        <w:tc>
          <w:tcPr>
            <w:tcW w:type="dxa" w:w="1560"/>
          </w:tcPr>
          <w:p>
            <w:r>
              <w:t>0.169</w:t>
            </w:r>
          </w:p>
        </w:tc>
        <w:tc>
          <w:tcPr>
            <w:tcW w:type="dxa" w:w="1560"/>
          </w:tcPr>
          <w:p>
            <w:r>
              <w:t>-0.030</w:t>
            </w:r>
          </w:p>
        </w:tc>
        <w:tc>
          <w:tcPr>
            <w:tcW w:type="dxa" w:w="1560"/>
          </w:tcPr>
          <w:p>
            <w:r>
              <w:t>2.46e-08</w:t>
            </w:r>
          </w:p>
        </w:tc>
        <w:tc>
          <w:tcPr>
            <w:tcW w:type="dxa" w:w="1560"/>
          </w:tcPr>
          <w:p>
            <w:r>
              <w:t>2.95e-08</w:t>
            </w:r>
          </w:p>
        </w:tc>
      </w:tr>
      <w:tr>
        <w:tc>
          <w:tcPr>
            <w:tcW w:type="dxa" w:w="1560"/>
          </w:tcPr>
          <w:p>
            <w:r>
              <w:t>Neutrophil</w:t>
            </w:r>
          </w:p>
        </w:tc>
        <w:tc>
          <w:tcPr>
            <w:tcW w:type="dxa" w:w="1560"/>
          </w:tcPr>
          <w:p>
            <w:r>
              <w:t>0.183</w:t>
            </w:r>
          </w:p>
        </w:tc>
        <w:tc>
          <w:tcPr>
            <w:tcW w:type="dxa" w:w="1560"/>
          </w:tcPr>
          <w:p>
            <w:r>
              <w:t>0.160</w:t>
            </w:r>
          </w:p>
        </w:tc>
        <w:tc>
          <w:tcPr>
            <w:tcW w:type="dxa" w:w="1560"/>
          </w:tcPr>
          <w:p>
            <w:r>
              <w:t>0.023</w:t>
            </w:r>
          </w:p>
        </w:tc>
        <w:tc>
          <w:tcPr>
            <w:tcW w:type="dxa" w:w="1560"/>
          </w:tcPr>
          <w:p>
            <w:r>
              <w:t>4.39e-07</w:t>
            </w:r>
          </w:p>
        </w:tc>
        <w:tc>
          <w:tcPr>
            <w:tcW w:type="dxa" w:w="1560"/>
          </w:tcPr>
          <w:p>
            <w:r>
              <w:t>4.39e-07</w:t>
            </w:r>
          </w:p>
        </w:tc>
      </w:tr>
    </w:tbl>
    <w:p/>
    <w:p>
      <w:r>
        <w:rPr>
          <w:b w:val="0"/>
        </w:rPr>
        <w:t>Supplementary Figure A1. Mean NNLS cell-type scores by progressor status.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nls_celltype_bar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</w:rPr>
        <w:t>Supplementary Figure A2. Distribution of NNLS cell-type scores across progressors and non-progressors.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923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nls_celltype_boxplo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23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Coexpression Modules</w:t>
      </w:r>
    </w:p>
    <w:p>
      <w:r>
        <w:rPr>
          <w:b w:val="0"/>
        </w:rPr>
        <w:t>A WGCNA-style unsigned coexpression analysis was performed on the most variable shared genes after cohort centering. Modules were summarized by eigengenes and compared by progressor status.</w:t>
      </w:r>
    </w:p>
    <w:p>
      <w:r>
        <w:rPr>
          <w:b w:val="0"/>
        </w:rPr>
        <w:t>Supplementary Table A2. Coexpression module-trait summary. Modules are reported as supportive expression programs, not causal networks.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Module</w:t>
            </w:r>
          </w:p>
        </w:tc>
        <w:tc>
          <w:tcPr>
            <w:tcW w:type="dxa" w:w="1337"/>
          </w:tcPr>
          <w:p>
            <w:r>
              <w:t>Genes</w:t>
            </w:r>
          </w:p>
        </w:tc>
        <w:tc>
          <w:tcPr>
            <w:tcW w:type="dxa" w:w="1337"/>
          </w:tcPr>
          <w:p>
            <w:r>
              <w:t>Mean progressor</w:t>
            </w:r>
          </w:p>
        </w:tc>
        <w:tc>
          <w:tcPr>
            <w:tcW w:type="dxa" w:w="1337"/>
          </w:tcPr>
          <w:p>
            <w:r>
              <w:t>Mean non-progressor</w:t>
            </w:r>
          </w:p>
        </w:tc>
        <w:tc>
          <w:tcPr>
            <w:tcW w:type="dxa" w:w="1337"/>
          </w:tcPr>
          <w:p>
            <w:r>
              <w:t>Delta</w:t>
            </w:r>
          </w:p>
        </w:tc>
        <w:tc>
          <w:tcPr>
            <w:tcW w:type="dxa" w:w="1337"/>
          </w:tcPr>
          <w:p>
            <w:r>
              <w:t>p value</w:t>
            </w:r>
          </w:p>
        </w:tc>
        <w:tc>
          <w:tcPr>
            <w:tcW w:type="dxa" w:w="1337"/>
          </w:tcPr>
          <w:p>
            <w:r>
              <w:t>FDR</w:t>
            </w:r>
          </w:p>
        </w:tc>
      </w:tr>
      <w:tr>
        <w:tc>
          <w:tcPr>
            <w:tcW w:type="dxa" w:w="1337"/>
          </w:tcPr>
          <w:p>
            <w:r>
              <w:t>M6</w:t>
            </w:r>
          </w:p>
        </w:tc>
        <w:tc>
          <w:tcPr>
            <w:tcW w:type="dxa" w:w="1337"/>
          </w:tcPr>
          <w:p>
            <w:r>
              <w:t>854</w:t>
            </w:r>
          </w:p>
        </w:tc>
        <w:tc>
          <w:tcPr>
            <w:tcW w:type="dxa" w:w="1337"/>
          </w:tcPr>
          <w:p>
            <w:r>
              <w:t>12.035</w:t>
            </w:r>
          </w:p>
        </w:tc>
        <w:tc>
          <w:tcPr>
            <w:tcW w:type="dxa" w:w="1337"/>
          </w:tcPr>
          <w:p>
            <w:r>
              <w:t>-4.893</w:t>
            </w:r>
          </w:p>
        </w:tc>
        <w:tc>
          <w:tcPr>
            <w:tcW w:type="dxa" w:w="1337"/>
          </w:tcPr>
          <w:p>
            <w:r>
              <w:t>16.928</w:t>
            </w:r>
          </w:p>
        </w:tc>
        <w:tc>
          <w:tcPr>
            <w:tcW w:type="dxa" w:w="1337"/>
          </w:tcPr>
          <w:p>
            <w:r>
              <w:t>1.76e-14</w:t>
            </w:r>
          </w:p>
        </w:tc>
        <w:tc>
          <w:tcPr>
            <w:tcW w:type="dxa" w:w="1337"/>
          </w:tcPr>
          <w:p>
            <w:r>
              <w:t>3.52e-14</w:t>
            </w:r>
          </w:p>
        </w:tc>
      </w:tr>
      <w:tr>
        <w:tc>
          <w:tcPr>
            <w:tcW w:type="dxa" w:w="1337"/>
          </w:tcPr>
          <w:p>
            <w:r>
              <w:t>M5</w:t>
            </w:r>
          </w:p>
        </w:tc>
        <w:tc>
          <w:tcPr>
            <w:tcW w:type="dxa" w:w="1337"/>
          </w:tcPr>
          <w:p>
            <w:r>
              <w:t>2113</w:t>
            </w:r>
          </w:p>
        </w:tc>
        <w:tc>
          <w:tcPr>
            <w:tcW w:type="dxa" w:w="1337"/>
          </w:tcPr>
          <w:p>
            <w:r>
              <w:t>-6.571</w:t>
            </w:r>
          </w:p>
        </w:tc>
        <w:tc>
          <w:tcPr>
            <w:tcW w:type="dxa" w:w="1337"/>
          </w:tcPr>
          <w:p>
            <w:r>
              <w:t>2.671</w:t>
            </w:r>
          </w:p>
        </w:tc>
        <w:tc>
          <w:tcPr>
            <w:tcW w:type="dxa" w:w="1337"/>
          </w:tcPr>
          <w:p>
            <w:r>
              <w:t>-9.243</w:t>
            </w:r>
          </w:p>
        </w:tc>
        <w:tc>
          <w:tcPr>
            <w:tcW w:type="dxa" w:w="1337"/>
          </w:tcPr>
          <w:p>
            <w:r>
              <w:t>0.001</w:t>
            </w:r>
          </w:p>
        </w:tc>
        <w:tc>
          <w:tcPr>
            <w:tcW w:type="dxa" w:w="1337"/>
          </w:tcPr>
          <w:p>
            <w:r>
              <w:t>0.001</w:t>
            </w:r>
          </w:p>
        </w:tc>
      </w:tr>
    </w:tbl>
    <w:p/>
    <w:p>
      <w:r>
        <w:rPr>
          <w:b w:val="0"/>
        </w:rPr>
        <w:t>Supplementary Table A3. Overlap between coexpression modules and top Bayesian genes.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Module</w:t>
            </w:r>
          </w:p>
        </w:tc>
        <w:tc>
          <w:tcPr>
            <w:tcW w:type="dxa" w:w="3120"/>
          </w:tcPr>
          <w:p>
            <w:r>
              <w:t>Bayesian signature overlap</w:t>
            </w:r>
          </w:p>
        </w:tc>
        <w:tc>
          <w:tcPr>
            <w:tcW w:type="dxa" w:w="3120"/>
          </w:tcPr>
          <w:p>
            <w:r>
              <w:t>Overlapping genes</w:t>
            </w:r>
          </w:p>
        </w:tc>
      </w:tr>
      <w:tr>
        <w:tc>
          <w:tcPr>
            <w:tcW w:type="dxa" w:w="3120"/>
          </w:tcPr>
          <w:p>
            <w:r>
              <w:t>M5</w:t>
            </w:r>
          </w:p>
        </w:tc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IRAK3</w:t>
            </w:r>
          </w:p>
        </w:tc>
      </w:tr>
      <w:tr>
        <w:tc>
          <w:tcPr>
            <w:tcW w:type="dxa" w:w="3120"/>
          </w:tcPr>
          <w:p>
            <w:r>
              <w:t>M6</w:t>
            </w:r>
          </w:p>
        </w:tc>
        <w:tc>
          <w:tcPr>
            <w:tcW w:type="dxa" w:w="3120"/>
          </w:tcPr>
          <w:p>
            <w:r>
              <w:t>10</w:t>
            </w:r>
          </w:p>
        </w:tc>
        <w:tc>
          <w:tcPr>
            <w:tcW w:type="dxa" w:w="3120"/>
          </w:tcPr>
          <w:p>
            <w:r>
              <w:t>ANKRD9; CD36; ERMAP; FAM20C; GLB1; HAUS4; LOXL1; PLBD1; SPTB; VSIG4</w:t>
            </w:r>
          </w:p>
        </w:tc>
      </w:tr>
    </w:tbl>
    <w:p/>
    <w:p>
      <w:r>
        <w:rPr>
          <w:b w:val="0"/>
        </w:rPr>
        <w:t>Supplementary Figure A3. Coexpression module eigengene differences by progressor status.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expression_module_trait_bar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</w:rPr>
        <w:t>Supplementary Figure A4. Top module eigengene distributions in progressors and non-progressors.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684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expression_module_boxplo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684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Cohort Expansion Note</w:t>
      </w:r>
    </w:p>
    <w:p>
      <w:r>
        <w:rPr>
          <w:b w:val="0"/>
        </w:rPr>
        <w:t>This extension layer was motivated by OmicsClaw bulk-RNA resources for deconvolution, coexpression, enrichment, and literature support.</w:t>
      </w:r>
    </w:p>
    <w:p>
      <w:r>
        <w:rPr>
          <w:b w:val="0"/>
        </w:rPr>
        <w:t>The present repository already contained pathway enrichment and the new Bayesian/PCA/factor analysis layer, so the main additive analyses were deconvolution and coexpression.</w:t>
      </w:r>
    </w:p>
    <w:p>
      <w:pPr>
        <w:pStyle w:val="ListBullet"/>
      </w:pPr>
      <w:r>
        <w:t>GSE79362: prospectively validated adolescent risk-signature cohort and still the highest-value target for full shared-gene remapping.</w:t>
      </w:r>
    </w:p>
    <w:p>
      <w:pPr>
        <w:pStyle w:val="ListBullet"/>
      </w:pPr>
      <w:r>
        <w:t>GSE107993: paired Leicester non-progressor companion dataset from the same phenotypic heterogeneity study and potentially useful for expansion once harmonization details are checked carefully.</w:t>
      </w:r>
    </w:p>
    <w:p>
      <w:pPr>
        <w:pStyle w:val="ListBullet"/>
      </w:pPr>
      <w:r>
        <w:t>GSE117435: single-cell supportive resource that may help interpret monocyte-T-cell interface biology, but not a direct replacement for bulk progression validation.</w:t>
      </w:r>
    </w:p>
    <w:p>
      <w:pPr>
        <w:pStyle w:val="ListBullet"/>
      </w:pPr>
      <w:r>
        <w:t>Deconvolution helps test whether the progression signal partly reflects shifts in myeloid and lymphoid composition.</w:t>
      </w:r>
    </w:p>
    <w:p>
      <w:pPr>
        <w:pStyle w:val="ListBullet"/>
      </w:pPr>
      <w:r>
        <w:t>Coexpression modules help move the interpretation from isolated genes to coordinated biological programs.</w:t>
      </w:r>
    </w:p>
    <w:p>
      <w:pPr>
        <w:pStyle w:val="ListBullet"/>
      </w:pPr>
      <w:r>
        <w:t>Literature-led cohort expansion is the main requirement for stronger generalization claims.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