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Highlights</w:t>
      </w:r>
    </w:p>
    <w:p>
      <w:pPr>
        <w:pStyle w:val="ListBullet"/>
      </w:pPr>
      <w:r>
        <w:t>Two harmonizable TB progression cohorts supported a shared-gene advanced reanalysis.</w:t>
      </w:r>
    </w:p>
    <w:p>
      <w:pPr>
        <w:pStyle w:val="ListBullet"/>
      </w:pPr>
      <w:r>
        <w:t>Cohort centering reduced study-structure dominance in principal component analysis.</w:t>
      </w:r>
    </w:p>
    <w:p>
      <w:pPr>
        <w:pStyle w:val="ListBullet"/>
      </w:pPr>
      <w:r>
        <w:t>Bayesian synthesis prioritized MILR1, VSIG4, FZD5, CD36, CCR2, and AQP1.</w:t>
      </w:r>
    </w:p>
    <w:p>
      <w:pPr>
        <w:pStyle w:val="ListBullet"/>
      </w:pPr>
      <w:r>
        <w:t>Marker-based deconvolution suggested stronger myeloid and weaker lymphoid weighting in progressors.</w:t>
      </w:r>
    </w:p>
    <w:p>
      <w:pPr>
        <w:pStyle w:val="ListBullet"/>
      </w:pPr>
      <w:r>
        <w:t>Latent factors, pathways, and coexpression modules pointed to coordinated host-response programs.</w:t>
      </w:r>
    </w:p>
    <w:p>
      <w:pPr>
        <w:pStyle w:val="ListBullet"/>
      </w:pPr>
      <w:r>
        <w:t>The results support biological interpretation more strongly than immediate clinical deployment.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