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Journal Fit and Submission Notes</w:t>
      </w:r>
    </w:p>
    <w:p>
      <w:pPr>
        <w:pStyle w:val="Heading1"/>
      </w:pPr>
      <w:r>
        <w:t>Primary target journal</w:t>
      </w:r>
    </w:p>
    <w:p>
      <w:r>
        <w:rPr>
          <w:b w:val="0"/>
        </w:rPr>
        <w:t>BMC Personalized Medicine (Springer Nature / BMC) is the primary recommended target for this package because the manuscript is positioned as a reproducible biomarker-discovery and risk-stratification resource rather than a definitive clinical assay paper.</w:t>
      </w:r>
    </w:p>
    <w:p>
      <w:r>
        <w:rPr>
          <w:b w:val="0"/>
        </w:rPr>
        <w:t>This package was therefore formatted as a BMC-style original research submission with a separate title page, main article, supplementary file, and cover letter.</w:t>
      </w:r>
    </w:p>
    <w:p>
      <w:pPr>
        <w:pStyle w:val="Heading1"/>
      </w:pPr>
      <w:r>
        <w:t>Cost position</w:t>
      </w:r>
    </w:p>
    <w:p>
      <w:r>
        <w:rPr>
          <w:b w:val="0"/>
        </w:rPr>
        <w:t>As checked on 17 March 2026 from official Springer Nature / BMC material, BMC Personalized Medicine is operating under a launch-period arrangement in which publication costs are covered until 31 December 2026. This makes it the most suitable APC-free option within the Springer Nature family for the present manuscript.</w:t>
      </w:r>
    </w:p>
    <w:p>
      <w:pPr>
        <w:pStyle w:val="Heading1"/>
      </w:pPr>
      <w:r>
        <w:t>Fallback subscription-format option</w:t>
      </w:r>
    </w:p>
    <w:p>
      <w:r>
        <w:rPr>
          <w:b w:val="0"/>
        </w:rPr>
        <w:t>If a more conventional subscription or hybrid journal is preferred, Infection (Springer) is the recommended fallback. It is a clinically oriented infectious-disease journal within Springer and uses Springer hybrid publishing options, so a non-open-access route remains possible.</w:t>
      </w:r>
    </w:p>
    <w:p>
      <w:pPr>
        <w:pStyle w:val="Heading1"/>
      </w:pPr>
      <w:r>
        <w:t>Repository and audit trail</w:t>
      </w:r>
    </w:p>
    <w:p>
      <w:r>
        <w:rPr>
          <w:b w:val="0"/>
        </w:rPr>
        <w:t>GitHub repository: https://github.com/hssling/tb-progression-transcriptome-meta</w:t>
      </w:r>
    </w:p>
    <w:p>
      <w:r>
        <w:rPr>
          <w:b w:val="0"/>
        </w:rPr>
        <w:t>All submission files in this folder were generated from repository outputs and should be cited together with the repository when the manuscript is uploaded or shared.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