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Highlights</w:t>
      </w:r>
    </w:p>
    <w:p>
      <w:pPr>
        <w:pStyle w:val="ListBullet"/>
      </w:pPr>
      <w:r>
        <w:t>Longitudinal reanalysis was performed on a remapped public TB RNA-sequencing cohort with repeated subject-level follow-up.</w:t>
      </w:r>
    </w:p>
    <w:p>
      <w:pPr>
        <w:pStyle w:val="ListBullet"/>
      </w:pPr>
      <w:r>
        <w:t>Program-level temporal differences were stronger than single-gene temporal differences.</w:t>
      </w:r>
    </w:p>
    <w:p>
      <w:pPr>
        <w:pStyle w:val="ListBullet"/>
      </w:pPr>
      <w:r>
        <w:t>Myeloid, vascular, neutrophil, platelet, and coexpression-program signals showed the strongest progressor-by-month interactions.</w:t>
      </w:r>
    </w:p>
    <w:p>
      <w:pPr>
        <w:pStyle w:val="ListBullet"/>
      </w:pPr>
      <w:r>
        <w:t>No individual gene trajectory survived multiple-testing correction in the primary longitudinal models.</w:t>
      </w:r>
    </w:p>
    <w:p>
      <w:pPr>
        <w:pStyle w:val="ListBullet"/>
      </w:pPr>
      <w:r>
        <w:t>IC samples behaved as a distinct sensitivity layer and should not be merged into the scheduled follow-up scale.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