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38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Introduction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Brief overview of the test strategy document and its purpose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Objectives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1]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2]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[Objective 3]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Scope of Testing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In-scope: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Out-of-scope: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1]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216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[Feature/Functionality 2]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Levels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Techniques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1]: [Applicable Test Levels]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2]: [Applicable Test Levels]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[Test Technique 3]: [Applicable Test Levels]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Environment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Hardware: [Hardware Specifications]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Software: [Software Specifications]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Network: [Network Specifications]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Devices/Browsers: [List of Devices and Browsers]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Schedule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Deliverables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1]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2]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[Deliverable 3]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Resource Planning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1]: [Responsibilities], [Skills], [Number of Resources]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[Role 2]: [Responsibilities], [Skills], [Number of Resources]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1]: [Mitigation Strategy]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2]: [Mitigation Strategy]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[Risk 3]: [Mitigation Strategy]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Exit Criteria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1]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2]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[Criterion 3]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before="0" w:lineRule="auto"/>
        <w:ind w:left="72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Test Metrics and Reporting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1]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2]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[KPI 3]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80" w:before="0" w:lineRule="auto"/>
        <w:ind w:left="1440" w:hanging="360"/>
        <w:rPr>
          <w:rFonts w:ascii="Roboto" w:cs="Roboto" w:eastAsia="Roboto" w:hAnsi="Roboto"/>
          <w:color w:val="374151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74151"/>
          <w:sz w:val="30"/>
          <w:szCs w:val="30"/>
          <w:highlight w:val="white"/>
          <w:rtl w:val="0"/>
        </w:rPr>
        <w:t xml:space="preserve">Reporting Structure: [Frequency, Format, and Recipients]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28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