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Reviewer Summary — Geotechnical ML Prediction Tool</w:t>
      </w:r>
    </w:p>
    <w:p>
      <w:pPr>
        <w:pStyle w:val="Heading1"/>
      </w:pPr>
      <w:r>
        <w:t>1. Algorithm Benchmarking Rationale</w:t>
      </w:r>
    </w:p>
    <w:p>
      <w:r>
        <w:t>Eleven representative machine learning algorithms were selected to span four major regression families: linear (Linear Regression, Ridge, Lasso), kernel-based (Support Vector Regression), a single decision tree, bagging ensembles (Random Forest, Extra Trees), and boosting ensembles (Gradient Boosting, XGBoost, LightGBM, CatBoost). These families were chosen because prior geotechnical machine-learning studies have consistently reported superior performance of ensemble and boosting methods for nonlinear SPT-based soil property prediction. All eleven algorithms were benchmarked under an identical borehole-group-aware cross-validation protocol to verify whether this trend held for the present Dinajpur dataset. Consistent with the literature, ensemble and boosting algorithms generally outperformed linear and kernel-based methods; the highest-performing algorithm for each target property was therefore selected for deployment in the final prediction tool. The full eleven-model benchmark is provided as supplementary material.</w:t>
      </w:r>
    </w:p>
    <w:p>
      <w:pPr>
        <w:pStyle w:val="Heading1"/>
      </w:pPr>
      <w:r>
        <w:t>2. Model Mapping (Paper vs Deployment)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Paper_Benchmark_Model</w:t>
            </w:r>
          </w:p>
        </w:tc>
        <w:tc>
          <w:tcPr>
            <w:tcW w:type="dxa" w:w="1728"/>
          </w:tcPr>
          <w:p>
            <w:r>
              <w:t>Paper_PKL</w:t>
            </w:r>
          </w:p>
        </w:tc>
        <w:tc>
          <w:tcPr>
            <w:tcW w:type="dxa" w:w="1728"/>
          </w:tcPr>
          <w:p>
            <w:r>
              <w:t>Deployed_Tool_Model</w:t>
            </w:r>
          </w:p>
        </w:tc>
        <w:tc>
          <w:tcPr>
            <w:tcW w:type="dxa" w:w="1728"/>
          </w:tcPr>
          <w:p>
            <w:r>
              <w:t>Tool_PKL</w:t>
            </w:r>
          </w:p>
        </w:tc>
      </w:tr>
      <w:tr>
        <w:tc>
          <w:tcPr>
            <w:tcW w:type="dxa" w:w="1728"/>
          </w:tcPr>
          <w:p>
            <w:r>
              <w:t>PHI</w:t>
            </w:r>
          </w:p>
        </w:tc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phi_best_model.pkl</w:t>
            </w:r>
          </w:p>
        </w:tc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phi_best_model.pkl</w:t>
            </w:r>
          </w:p>
        </w:tc>
      </w:tr>
      <w:tr>
        <w:tc>
          <w:tcPr>
            <w:tcW w:type="dxa" w:w="1728"/>
          </w:tcPr>
          <w:p>
            <w:r>
              <w:t>GAMMA_WET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gamma_wet_best_model.pkl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gamma_wet_best_model.pkl</w:t>
            </w:r>
          </w:p>
        </w:tc>
      </w:tr>
      <w:tr>
        <w:tc>
          <w:tcPr>
            <w:tcW w:type="dxa" w:w="1728"/>
          </w:tcPr>
          <w:p>
            <w:r>
              <w:t>GAMMA_DRY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gamma_dry_best_model.pkl</w:t>
            </w:r>
          </w:p>
        </w:tc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gamma_dry_best_model.pkl</w:t>
            </w:r>
          </w:p>
        </w:tc>
      </w:tr>
      <w:tr>
        <w:tc>
          <w:tcPr>
            <w:tcW w:type="dxa" w:w="1728"/>
          </w:tcPr>
          <w:p>
            <w:r>
              <w:t>SP_GR</w:t>
            </w:r>
          </w:p>
        </w:tc>
        <w:tc>
          <w:tcPr>
            <w:tcW w:type="dxa" w:w="1728"/>
          </w:tcPr>
          <w:p>
            <w:r>
              <w:t>Extra Trees</w:t>
            </w:r>
          </w:p>
        </w:tc>
        <w:tc>
          <w:tcPr>
            <w:tcW w:type="dxa" w:w="1728"/>
          </w:tcPr>
          <w:p>
            <w:r>
              <w:t>sp_gr_best_model.pkl</w:t>
            </w:r>
          </w:p>
        </w:tc>
        <w:tc>
          <w:tcPr>
            <w:tcW w:type="dxa" w:w="1728"/>
          </w:tcPr>
          <w:p>
            <w:r>
              <w:t>Extra Trees</w:t>
            </w:r>
          </w:p>
        </w:tc>
        <w:tc>
          <w:tcPr>
            <w:tcW w:type="dxa" w:w="1728"/>
          </w:tcPr>
          <w:p>
            <w:r>
              <w:t>sp_gr_best_model.pkl</w:t>
            </w:r>
          </w:p>
        </w:tc>
      </w:tr>
      <w:tr>
        <w:tc>
          <w:tcPr>
            <w:tcW w:type="dxa" w:w="1728"/>
          </w:tcPr>
          <w:p>
            <w:r>
              <w:t>COHESION</w:t>
            </w:r>
          </w:p>
        </w:tc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cohesion_best_model.pkl</w:t>
            </w:r>
          </w:p>
        </w:tc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cohesion_tool_model.pkl</w:t>
            </w:r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mc_best_model.pkl</w:t>
            </w:r>
          </w:p>
        </w:tc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mc_best_model.pkl</w:t>
            </w:r>
          </w:p>
        </w:tc>
      </w:tr>
    </w:tbl>
    <w:p>
      <w:pPr>
        <w:pStyle w:val="Heading1"/>
      </w:pPr>
      <w:r>
        <w:t>3. Methodological Note on Cohesion Selection</w:t>
      </w:r>
    </w:p>
    <w:p>
      <w:r>
        <w:t>Decision Tree achieved the highest independent test-set R² for cohesion and was therefore, whereas Gradient Boosting achieved higher Group CV R² (0.938 vs 0.927), lower fold-to-fold variability, and lower expected overfitting risk.retained as the benchmark model for paper reporting consistency. However, the deployed prediction tool uses Gradient Boosting for cohesion because it demonstrated superior borehole-group cross-validation performance, lower variability across folds, and a lower expected risk of overfitting during future field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