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BA47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247998">
        <w:rPr>
          <w:rFonts w:ascii="宋体" w:eastAsia="宋体" w:hAnsi="宋体" w:cs="宋体"/>
        </w:rPr>
        <w:t>Passage 33</w:t>
      </w:r>
    </w:p>
    <w:p w14:paraId="3BCBE7EC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 xml:space="preserve">20中 建筑重视 nar </w:t>
      </w:r>
    </w:p>
    <w:p w14:paraId="188D1012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 xml:space="preserve">重点是 文艺复兴时期 广泛的来源 </w:t>
      </w:r>
    </w:p>
    <w:p w14:paraId="76AE3E7B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PP 用T石头 20前</w:t>
      </w:r>
    </w:p>
    <w:p w14:paraId="159FDA84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有些评论 没看懂</w:t>
      </w:r>
    </w:p>
    <w:p w14:paraId="308EA7BC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</w:p>
    <w:p w14:paraId="6BC5B076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 xml:space="preserve">相反的使用情况 </w:t>
      </w:r>
    </w:p>
    <w:p w14:paraId="1A0F7E8E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雕刻和绘画</w:t>
      </w:r>
    </w:p>
    <w:p w14:paraId="5F76BF69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</w:p>
    <w:p w14:paraId="699A1754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扩大范围</w:t>
      </w:r>
    </w:p>
    <w:p w14:paraId="577DD8D7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</w:p>
    <w:p w14:paraId="11F49C74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1. The passage is primarily concerned with</w:t>
      </w:r>
      <w:r w:rsidRPr="00247998">
        <w:rPr>
          <w:rFonts w:ascii="MS Gothic" w:eastAsia="MS Gothic" w:hAnsi="MS Gothic" w:cs="MS Gothic" w:hint="eastAsia"/>
        </w:rPr>
        <w:t> </w:t>
      </w:r>
    </w:p>
    <w:p w14:paraId="7022DAA4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A. explaining the differences in quality among different kinds of building materials</w:t>
      </w:r>
      <w:r w:rsidRPr="00247998">
        <w:rPr>
          <w:rFonts w:ascii="MS Gothic" w:eastAsia="MS Gothic" w:hAnsi="MS Gothic" w:cs="MS Gothic" w:hint="eastAsia"/>
        </w:rPr>
        <w:t> </w:t>
      </w:r>
    </w:p>
    <w:p w14:paraId="042AB0E1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一样的</w:t>
      </w:r>
    </w:p>
    <w:p w14:paraId="74D05F68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B. discussing the differences among Etruscan, Florentine Renaissance, and Roman Baroque architecture</w:t>
      </w:r>
      <w:r w:rsidRPr="00247998">
        <w:rPr>
          <w:rFonts w:ascii="MS Gothic" w:eastAsia="MS Gothic" w:hAnsi="MS Gothic" w:cs="MS Gothic" w:hint="eastAsia"/>
        </w:rPr>
        <w:t> </w:t>
      </w:r>
    </w:p>
    <w:p w14:paraId="78E91768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C. describing how different materials influenced architecture in different cities</w:t>
      </w:r>
      <w:r w:rsidRPr="00247998">
        <w:rPr>
          <w:rFonts w:ascii="MS Gothic" w:eastAsia="MS Gothic" w:hAnsi="MS Gothic" w:cs="MS Gothic" w:hint="eastAsia"/>
        </w:rPr>
        <w:t> </w:t>
      </w:r>
    </w:p>
    <w:p w14:paraId="2133F016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 xml:space="preserve">different materials </w:t>
      </w:r>
    </w:p>
    <w:p w14:paraId="608E46D8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D. describing the manner in which Renaissance architects often resorted to artificial materials and illusionistic effects</w:t>
      </w:r>
      <w:r w:rsidRPr="00247998">
        <w:rPr>
          <w:rFonts w:ascii="MS Gothic" w:eastAsia="MS Gothic" w:hAnsi="MS Gothic" w:cs="MS Gothic" w:hint="eastAsia"/>
        </w:rPr>
        <w:t> </w:t>
      </w:r>
    </w:p>
    <w:p w14:paraId="4D40B7EA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E. demonstrating the attitude of sixteenth- and seventeenth-century Italian architects toward the use of building materials</w:t>
      </w:r>
    </w:p>
    <w:p w14:paraId="46DC77FB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选E</w:t>
      </w:r>
    </w:p>
    <w:p w14:paraId="12F3A836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</w:p>
    <w:p w14:paraId="2888D2CC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2. It can be inferred from the passage that the author believes that which of the following is true of painting and architecture of the Baroque era?</w:t>
      </w:r>
    </w:p>
    <w:p w14:paraId="240B91E9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A. Both emphasize the “natural” use of materials.</w:t>
      </w:r>
    </w:p>
    <w:p w14:paraId="6AE95B27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X</w:t>
      </w:r>
    </w:p>
    <w:p w14:paraId="155ADA43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B. Both are derived from the Florentine Renaissance style.</w:t>
      </w:r>
    </w:p>
    <w:p w14:paraId="5973EFD0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选B</w:t>
      </w:r>
    </w:p>
    <w:p w14:paraId="4FC3F699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C. Both have been overlooked by twentieth-century Modernists.</w:t>
      </w:r>
    </w:p>
    <w:p w14:paraId="2BD824F9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X</w:t>
      </w:r>
    </w:p>
    <w:p w14:paraId="1E0F32AF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D. They have certain visual features in common.</w:t>
      </w:r>
    </w:p>
    <w:p w14:paraId="48182F54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</w:p>
    <w:p w14:paraId="62DC757E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E. They illustrate the degeneration of a style.</w:t>
      </w:r>
    </w:p>
    <w:p w14:paraId="3E9443A8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</w:p>
    <w:p w14:paraId="58F4588D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3. The author’s mention of Florentine Renaissance painting serves in the context of the passage to support which of the following assertions?</w:t>
      </w:r>
    </w:p>
    <w:p w14:paraId="30F5EEDE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A. The constraints that operate in architecture are different from those that operate in painting</w:t>
      </w:r>
      <w:r w:rsidRPr="00247998">
        <w:rPr>
          <w:rFonts w:ascii="MS Gothic" w:eastAsia="MS Gothic" w:hAnsi="MS Gothic" w:cs="MS Gothic" w:hint="eastAsia"/>
        </w:rPr>
        <w:t> </w:t>
      </w:r>
    </w:p>
    <w:p w14:paraId="65D985B9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X</w:t>
      </w:r>
    </w:p>
    <w:p w14:paraId="64EC0A8F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lastRenderedPageBreak/>
        <w:t>B. Florentine architectural style was not determined by the nature of the available marble.</w:t>
      </w:r>
    </w:p>
    <w:p w14:paraId="4E5DEF8F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选b</w:t>
      </w:r>
    </w:p>
    <w:p w14:paraId="04BC121A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C. The Florentine Renaissance period was a period in which the other arts achieved the same distinction as did architecture.</w:t>
      </w:r>
    </w:p>
    <w:p w14:paraId="3E0F180F" w14:textId="77777777" w:rsidR="00247998" w:rsidRP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D. Technical advances in all of the arts of the Florentine Renaissance determined the stylistic qualities of those arts.</w:t>
      </w:r>
    </w:p>
    <w:p w14:paraId="641ABC28" w14:textId="77777777" w:rsidR="00247998" w:rsidRDefault="00247998" w:rsidP="00247998">
      <w:pPr>
        <w:pStyle w:val="a3"/>
        <w:rPr>
          <w:rFonts w:ascii="宋体" w:eastAsia="宋体" w:hAnsi="宋体" w:cs="宋体"/>
        </w:rPr>
      </w:pPr>
      <w:r w:rsidRPr="00247998">
        <w:rPr>
          <w:rFonts w:ascii="宋体" w:eastAsia="宋体" w:hAnsi="宋体" w:cs="宋体"/>
        </w:rPr>
        <w:t>E. Native preferences of style do not manifest themselves in the same ways in different arts.</w:t>
      </w:r>
    </w:p>
    <w:sectPr w:rsidR="00247998" w:rsidSect="00C54DEF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C4C9" w14:textId="77777777" w:rsidR="003B59B0" w:rsidRDefault="003B59B0" w:rsidP="003B59B0">
      <w:r>
        <w:separator/>
      </w:r>
    </w:p>
  </w:endnote>
  <w:endnote w:type="continuationSeparator" w:id="0">
    <w:p w14:paraId="2D158988" w14:textId="77777777" w:rsidR="003B59B0" w:rsidRDefault="003B59B0" w:rsidP="003B5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13A06" w14:textId="77777777" w:rsidR="003B59B0" w:rsidRDefault="003B59B0" w:rsidP="003B59B0">
      <w:r>
        <w:separator/>
      </w:r>
    </w:p>
  </w:footnote>
  <w:footnote w:type="continuationSeparator" w:id="0">
    <w:p w14:paraId="1422C8F1" w14:textId="77777777" w:rsidR="003B59B0" w:rsidRDefault="003B59B0" w:rsidP="003B5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47998"/>
    <w:rsid w:val="00280058"/>
    <w:rsid w:val="003B59B0"/>
    <w:rsid w:val="0042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DC361"/>
  <w15:chartTrackingRefBased/>
  <w15:docId w15:val="{485365E7-3380-46C3-8CC2-4EDA3100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54DE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54DEF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3B5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59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5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5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AB16E5-D155-4B16-93B0-26D2E8A17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41DEA9-F147-4BAA-9123-AD3DBF236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47660-2ECD-4BC9-AD8E-8916E70CF50B}">
  <ds:schemaRefs>
    <ds:schemaRef ds:uri="4c4ff8f5-352c-49b8-bdf5-f462c8fa1447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e0d52df5-7195-4f05-85af-0b225cda5ad1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2019-10-06T03:07:00Z</dcterms:created>
  <dcterms:modified xsi:type="dcterms:W3CDTF">2019-10-06T03:07:00Z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