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drawn from a validated name pool</w:t>
            </w:r>
          </w:p>
        </w:tc>
      </w:tr>
      <w:tr>
        <w:tc>
          <w:p>
            <w:pPr>
              <w:pStyle w:val="Compact"/>
              <w:jc w:val="left"/>
            </w:pPr>
            <w:r>
              <w:rPr>
                <w:bCs/>
                <w:b/>
              </w:rPr>
              <w:t xml:space="preserve">C2 Name cue B</w:t>
            </w:r>
          </w:p>
        </w:tc>
        <w:tc>
          <w:p>
            <w:pPr>
              <w:pStyle w:val="Compact"/>
              <w:jc w:val="left"/>
            </w:pPr>
            <w:r>
              <w:t xml:space="preserve">Signing name drawn from a contrasting validated pool</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the N ∈ {60, 120} pool-density arm; and the consumer-product probe. The pool-density arm matters most of these, because §6.1 identifies pool size as the principal sensitivity of the dominance measure; until it is run, the absolute level of P2a should be read as conditional on N = 120. These are the first items in any revision.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median household income, median gross rent, rent burden, renter share, and racial and ethnic composition. These enter the analysis</w:t>
      </w:r>
      <w:r>
        <w:t xml:space="preserve"> </w:t>
      </w:r>
      <w:r>
        <w:rPr>
          <w:bCs/>
          <w:b/>
        </w:rPr>
        <w:t xml:space="preserve">only</w:t>
      </w:r>
      <w:r>
        <w:t xml:space="preserve"> </w:t>
      </w:r>
      <w:r>
        <w:t xml:space="preserve">as the neighborhood-exposure outcome (§6, S3) and as descriptive context. They are not inputs to the feasible set, the dominance computation, or any primary outcome.</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 Table 2a.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against ACS and NYCHVS benchmarks.</w:t>
      </w:r>
      <w:r>
        <w:t xml:space="preserve"> </w:t>
      </w:r>
      <w:r>
        <w:rPr>
          <w:rStyle w:val="VerbatimChar"/>
        </w:rPr>
        <w:t xml:space="preserve">[[RESULT: pending Census API access -- rent decile distribution, sample vs. NYCHVS; borough shares vs. ACS renter-occupied units; estimated under-coverage by rent decile]]</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8"/>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8"/>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This is the measure that connects our results to the existing steering literature and permits direct comparison with Liu et al. (2024) and Samad et al. (2026).</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09"/>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09"/>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09"/>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09"/>
        </w:numPr>
        <w:pStyle w:val="Compact"/>
      </w:pPr>
      <w:r>
        <w:rPr>
          <w:bCs/>
          <w:b/>
        </w:rPr>
        <w:t xml:space="preserve">Snapshot logging</w:t>
      </w:r>
      <w:r>
        <w:t xml:space="preserve">: model identifier, API version, call timestamp, and full request/response recorded for every call.</w:t>
      </w:r>
    </w:p>
    <w:p>
      <w:pPr>
        <w:numPr>
          <w:ilvl w:val="0"/>
          <w:numId w:val="1009"/>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7"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End w:id="67"/>
    <w:bookmarkStart w:id="73" w:name="discussion-and-recommendations"/>
    <w:p>
      <w:pPr>
        <w:pStyle w:val="Heading2"/>
      </w:pPr>
      <w:r>
        <w:t xml:space="preserve">9. Discussion and Recommendations</w:t>
      </w:r>
    </w:p>
    <w:bookmarkStart w:id="68"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8"/>
    <w:bookmarkStart w:id="69"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69"/>
    <w:bookmarkStart w:id="70" w:name="recommendations-for-developers"/>
    <w:p>
      <w:pPr>
        <w:pStyle w:val="Heading3"/>
      </w:pPr>
      <w:r>
        <w:t xml:space="preserve">9.3 Recommendations for developers</w:t>
      </w:r>
    </w:p>
    <w:p>
      <w:pPr>
        <w:numPr>
          <w:ilvl w:val="0"/>
          <w:numId w:val="1010"/>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0"/>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0"/>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0"/>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0"/>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0"/>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0"/>
    <w:bookmarkStart w:id="71"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1"/>
    <w:bookmarkStart w:id="72"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2"/>
    <w:bookmarkEnd w:id="73"/>
    <w:bookmarkStart w:id="74"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w:t>
      </w:r>
      <w:r>
        <w:t xml:space="preserve"> </w:t>
      </w:r>
      <w:r>
        <w:t xml:space="preserve">RentCast’s New York coverage derives from MLS syndication, which under-represents the no-fee and small-landlord segment that constitutes a substantial share of the city’s rental market. Table 2a quantifies the divergence. Because the bias is common to all conditions and architectures, it threatens external validity — the absolute magnitude of cost gaps — but not the internal validity of within-scenario identity contrasts.</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Name cues confound race and class, and were not validated.</w:t>
      </w:r>
      <w:r>
        <w:t xml:space="preserve"> </w:t>
      </w:r>
      <w:r>
        <w:t xml:space="preserve">A name carries race and socioeconomic signals simultaneously (Gaddis, 2017). Our pool draws on Bertrand &amp; Mullainathan (2004) with four names Gaddis flags as SES-atypical excluded a priori, but</w:t>
      </w:r>
      <w:r>
        <w:t xml:space="preserve"> </w:t>
      </w:r>
      <w:r>
        <w:rPr>
          <w:bCs/>
          <w:b/>
        </w:rPr>
        <w:t xml:space="preserve">we did not obtain the published perception scores</w:t>
      </w:r>
      <w:r>
        <w:t xml:space="preserve">, so Appendix B is incomplete and the C1/C2 conditions rest on an unvalidated instrument. This is a material weakness for those two conditions specifically. It does not affect C3 (voucher), which is an explicit disclosure rather than an inferred signal, nor any non-identity result.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4"/>
    <w:bookmarkStart w:id="75"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5"/>
    <w:bookmarkStart w:id="76"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6"/>
    <w:bookmarkStart w:id="77"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7"/>
    <w:bookmarkStart w:id="78" w:name="Xd8627171ce674e734b9877da4fa6a28b0b80d5c"/>
    <w:p>
      <w:pPr>
        <w:pStyle w:val="Heading2"/>
      </w:pPr>
      <w:r>
        <w:t xml:space="preserve">Appendix B. Name pool and validation scores</w:t>
      </w:r>
    </w:p>
    <w:p>
      <w:pPr>
        <w:pStyle w:val="FirstParagraph"/>
      </w:pPr>
      <w:r>
        <w:rPr>
          <w:rStyle w:val="VerbatimChar"/>
        </w:rPr>
        <w:t xml:space="preserve">[[TO BE ADDED: names used, source dataset, perceived-race and perceived-SES scores per name]]</w:t>
      </w:r>
    </w:p>
    <w:bookmarkEnd w:id="78"/>
    <w:bookmarkStart w:id="79"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1"/>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1"/>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1"/>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1"/>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1"/>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1"/>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1"/>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1"/>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1"/>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1"/>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79"/>
    <w:bookmarkStart w:id="80"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2"/>
        </w:numPr>
        <w:pStyle w:val="Compact"/>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2"/>
        </w:numPr>
        <w:pStyle w:val="Compact"/>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r>
        <w:t xml:space="preserve"> </w:t>
      </w:r>
      <w:r>
        <w:t xml:space="preserve">2b.</w:t>
      </w:r>
      <w:r>
        <w:t xml:space="preserve"> </w:t>
      </w:r>
      <w:r>
        <w:rPr>
          <w:bCs/>
          <w:b/>
        </w:rPr>
        <w:t xml:space="preserve">Replicate §8.10 (size sweep) on a second vendor.</w:t>
      </w:r>
      <w:r>
        <w:t xml:space="preserve"> </w:t>
      </w:r>
      <w:r>
        <w:t xml:space="preserve">~US$30 on Claude. §8.8 has already been replicated (Table 20b).</w:t>
      </w:r>
    </w:p>
    <w:p>
      <w:pPr>
        <w:numPr>
          <w:ilvl w:val="0"/>
          <w:numId w:val="1012"/>
        </w:numPr>
        <w:pStyle w:val="Compact"/>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2"/>
        </w:numPr>
        <w:pStyle w:val="Compact"/>
      </w:pPr>
      <w:r>
        <w:rPr>
          <w:bCs/>
          <w:b/>
        </w:rPr>
        <w:t xml:space="preserve">Name-perception validation (Appendix B).</w:t>
      </w:r>
      <w:r>
        <w:t xml:space="preserve"> </w:t>
      </w:r>
      <w:r>
        <w:t xml:space="preserve">Gaddis (2017) scores, without which C1/C2 rest on an unvalidated instrument.</w:t>
      </w:r>
      <w:r>
        <w:t xml:space="preserve"> </w:t>
      </w:r>
      <w:r>
        <w:t xml:space="preserve">5b.</w:t>
      </w:r>
      <w:r>
        <w:t xml:space="preserve"> </w:t>
      </w: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r>
        <w:t xml:space="preserve"> </w:t>
      </w:r>
      <w:r>
        <w:t xml:space="preserve">5c.</w:t>
      </w:r>
      <w:r>
        <w:t xml:space="preserve"> </w:t>
      </w: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r>
        <w:t xml:space="preserve"> </w:t>
      </w:r>
      <w:r>
        <w:t xml:space="preserve">5d.</w:t>
      </w:r>
      <w:r>
        <w:t xml:space="preserve"> </w:t>
      </w: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2"/>
        </w:numPr>
        <w:pStyle w:val="Compact"/>
      </w:pPr>
      <w:r>
        <w:rPr>
          <w:bCs/>
          <w:b/>
        </w:rPr>
        <w:t xml:space="preserve">Table 2b.</w:t>
      </w:r>
      <w:r>
        <w:t xml:space="preserve"> </w:t>
      </w:r>
      <w:r>
        <w:t xml:space="preserve">ACS/NYCHVS coverage benchmark; requires a free Census API key.</w:t>
      </w:r>
    </w:p>
    <w:p>
      <w:pPr>
        <w:numPr>
          <w:ilvl w:val="0"/>
          <w:numId w:val="1012"/>
        </w:numPr>
        <w:pStyle w:val="Compact"/>
      </w:pPr>
      <w:r>
        <w:rPr>
          <w:bCs/>
          <w:b/>
        </w:rPr>
        <w:t xml:space="preserve">Open-weight arm.</w:t>
      </w:r>
      <w:r>
        <w:t xml:space="preserve"> </w:t>
      </w:r>
      <w:r>
        <w:t xml:space="preserve">A fixed-weight model so at least one result remains reproducible after snapshot deprecation.</w:t>
      </w:r>
    </w:p>
    <w:p>
      <w:pPr>
        <w:numPr>
          <w:ilvl w:val="0"/>
          <w:numId w:val="1012"/>
        </w:numPr>
        <w:pStyle w:val="Compact"/>
      </w:pPr>
      <w:r>
        <w:rPr>
          <w:bCs/>
          <w:b/>
        </w:rPr>
        <w:t xml:space="preserve">Registration.</w:t>
      </w:r>
      <w:r>
        <w:t xml:space="preserve"> </w:t>
      </w:r>
      <w:r>
        <w:t xml:space="preserve">Any additional data collection should be registered before it begins (§7.6).</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2026-09-08T20:37:27Z</dcterms:created>
  <dcterms:modified xsi:type="dcterms:W3CDTF">2026-09-08T20:37:27Z</dcterms:modified>
</cp:coreProperties>
</file>

<file path=docProps/custom.xml><?xml version="1.0" encoding="utf-8"?>
<Properties xmlns="http://schemas.openxmlformats.org/officeDocument/2006/custom-properties" xmlns:vt="http://schemas.openxmlformats.org/officeDocument/2006/docPropsVTypes"/>
</file>