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4.png" ContentType="image/png"/>
  <Override PartName="/word/media/rId5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2"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DDes (Harvard University). Independent Researcher. Correspondence: hsuanlo@alumni.harvard.edu</w:t>
      </w:r>
    </w:p>
    <w:p>
      <w:pPr>
        <w:pStyle w:val="BodyText"/>
      </w:pPr>
      <w:r>
        <w:rPr>
          <w:bCs/>
          <w:b/>
        </w:rPr>
        <w:t xml:space="preserve">Status.</w:t>
      </w:r>
      <w:r>
        <w:t xml:space="preserve"> </w:t>
      </w:r>
      <w:r>
        <w:t xml:space="preserve">v0.2, 6 September 2026. Sections 1–8 and 10 report completed results from</w:t>
      </w:r>
      <w:r>
        <w:t xml:space="preserve"> </w:t>
      </w:r>
      <w:r>
        <w:rPr>
          <w:bCs/>
          <w:b/>
        </w:rPr>
        <w:t xml:space="preserve">9,945 attempted model calls (9,601 parsed, 96.5%)</w:t>
      </w:r>
      <w:r>
        <w:t xml:space="preserve"> </w:t>
      </w:r>
      <w:r>
        <w:t xml:space="preserve">across three models and two vendors, of which the matched identity grid is 6,840 attempted (6,631 parsed); the remainder are the within-scenario priority, pool-density and candidate-set-size arms (Table 12b).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establish that models steer users toward different neighborhoods depending on perceived racial identity, and that LLM re-rankers improve engagement on commercial listing platforms. Neither line of work can say what a user</w:t>
      </w:r>
      <w:r>
        <w:t xml:space="preserve"> </w:t>
      </w:r>
      <w:r>
        <w:rPr>
          <w:iCs/>
          <w:i/>
        </w:rPr>
        <w:t xml:space="preserve">loses</w:t>
      </w:r>
      <w:r>
        <w:t xml:space="preserve"> </w:t>
      </w:r>
      <w:r>
        <w:t xml:space="preserve">when a recommender overlooks a suitable option.</w:t>
      </w:r>
    </w:p>
    <w:p>
      <w:pPr>
        <w:pStyle w:val="BodyText"/>
      </w:pPr>
      <w:r>
        <w:t xml:space="preserve">We audit AI housing recommendation against a verifiable ground truth. For each of 150 synthetic renter scenarios in New York City we construct a candidate pool of 120 real rental listings with known rent, bedroom count, and GTFS-computed transit commute, compute the exact set satisfying the user’s stated hard constraints, and derive its Pareto frontier. We measure what four architectures return under four identity conditions that hold the request and the pool fixed and vary only an identity cue. Primary outcomes are free of any assumed utility function: confirmed constraint violation,</w:t>
      </w:r>
      <w:r>
        <w:t xml:space="preserve"> </w:t>
      </w:r>
      <w:r>
        <w:rPr>
          <w:bCs/>
          <w:b/>
        </w:rPr>
        <w:t xml:space="preserve">strict dominance</w:t>
      </w:r>
      <w:r>
        <w:t xml:space="preserve"> </w:t>
      </w:r>
      <w:r>
        <w:t xml:space="preserve">(a recommendation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another listing in the same pool; floor area is not used), and cost gaps in dollars and minutes. Inference is by within-scenario randomization. We report</w:t>
      </w:r>
      <w:r>
        <w:t xml:space="preserve"> </w:t>
      </w:r>
      <w:r>
        <w:rPr>
          <w:bCs/>
          <w:b/>
        </w:rPr>
        <w:t xml:space="preserve">9,945 attempted calls (9,601 parsed, 96.5%) across three models and two vendors</w:t>
      </w:r>
      <w:r>
        <w:t xml:space="preserve">, for a total API cost of</w:t>
      </w:r>
      <w:r>
        <w:t xml:space="preserve"> </w:t>
      </w:r>
      <w:r>
        <w:rPr>
          <w:bCs/>
          <w:b/>
        </w:rPr>
        <w:t xml:space="preserve">US$57.01</w:t>
      </w:r>
      <w:r>
        <w:t xml:space="preserve"> </w:t>
      </w:r>
      <w:r>
        <w:t xml:space="preserve">(Table 12b).</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A further 105 contrasts on the ACS tract characteristics of recommended listings — the measure most directly comparable to the steering literature — return</w:t>
      </w:r>
      <w:r>
        <w:t xml:space="preserve"> </w:t>
      </w:r>
      <w:r>
        <w:rPr>
          <w:bCs/>
          <w:b/>
        </w:rPr>
        <w:t xml:space="preserve">no</w:t>
      </w:r>
      <w:r>
        <w:t xml:space="preserve"> </w:t>
      </w:r>
      <w:r>
        <w:t xml:space="preserve">significant effect after correction, with replicate noise exceeding between-condition variance for all seven neighborhood outcomes (§8.11).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p>
      <w:r>
        <w:pict>
          <v:rect style="width:0;height:1.5pt" o:hralign="center" o:hrstd="t" o:hr="t"/>
        </w:pict>
      </w:r>
    </w:p>
    <w:bookmarkEnd w:id="21"/>
    <w:bookmarkStart w:id="27" w:name="related-work"/>
    <w:p>
      <w:pPr>
        <w:pStyle w:val="Heading2"/>
      </w:pPr>
      <w:r>
        <w:t xml:space="preserve">2. Related Work</w:t>
      </w:r>
    </w:p>
    <w:bookmarkStart w:id="22"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2"/>
    <w:bookmarkStart w:id="23"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3"/>
    <w:bookmarkStart w:id="24"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4"/>
    <w:bookmarkStart w:id="25"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5"/>
    <w:bookmarkStart w:id="26"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6"/>
    <w:bookmarkEnd w:id="27"/>
    <w:bookmarkStart w:id="28"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8"/>
    <w:bookmarkStart w:id="34" w:name="study-design"/>
    <w:p>
      <w:pPr>
        <w:pStyle w:val="Heading2"/>
      </w:pPr>
      <w:r>
        <w:t xml:space="preserve">4. Study Design</w:t>
      </w:r>
    </w:p>
    <w:bookmarkStart w:id="29"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29"/>
    <w:bookmarkStart w:id="30"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0"/>
    <w:bookmarkStart w:id="31"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from the Bertrand–Mullainathan</w:t>
            </w:r>
            <w:r>
              <w:t xml:space="preserve"> </w:t>
            </w:r>
            <w:r>
              <w:t xml:space="preserve">“</w:t>
            </w:r>
            <w:r>
              <w:t xml:space="preserve">white-sounding</w:t>
            </w:r>
            <w:r>
              <w:t xml:space="preserve">”</w:t>
            </w:r>
            <w:r>
              <w:t xml:space="preserve"> </w:t>
            </w:r>
            <w:r>
              <w:t xml:space="preserve">list (Appendix B)</w:t>
            </w:r>
          </w:p>
        </w:tc>
      </w:tr>
      <w:tr>
        <w:tc>
          <w:p>
            <w:pPr>
              <w:pStyle w:val="Compact"/>
              <w:jc w:val="left"/>
            </w:pPr>
            <w:r>
              <w:rPr>
                <w:bCs/>
                <w:b/>
              </w:rPr>
              <w:t xml:space="preserve">C2 Name cue B</w:t>
            </w:r>
          </w:p>
        </w:tc>
        <w:tc>
          <w:p>
            <w:pPr>
              <w:pStyle w:val="Compact"/>
              <w:jc w:val="left"/>
            </w:pPr>
            <w:r>
              <w:t xml:space="preserve">Signing name from the contrasting</w:t>
            </w:r>
            <w:r>
              <w:t xml:space="preserve"> </w:t>
            </w:r>
            <w:r>
              <w:t xml:space="preserve">“</w:t>
            </w:r>
            <w:r>
              <w:t xml:space="preserve">Black-sounding</w:t>
            </w:r>
            <w:r>
              <w:t xml:space="preserve">”</w:t>
            </w:r>
            <w:r>
              <w:t xml:space="preserve"> </w:t>
            </w:r>
            <w:r>
              <w:t xml:space="preserve">list.</w:t>
            </w:r>
            <w:r>
              <w:t xml:space="preserve"> </w:t>
            </w:r>
            <w:r>
              <w:rPr>
                <w:bCs/>
                <w:b/>
              </w:rPr>
              <w:t xml:space="preserve">Joint race-and-class cue</w:t>
            </w:r>
            <w:r>
              <w:t xml:space="preserve"> </w:t>
            </w:r>
            <w:r>
              <w:t xml:space="preserve">— the pools are unbalanced on the Gaddis (2017) SES correlate; see Appendix B</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recoverable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1"/>
    <w:bookmarkStart w:id="32"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2"/>
    <w:bookmarkStart w:id="33"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and the consumer-product probe. These are the first items in any revision.</w:t>
      </w:r>
    </w:p>
    <w:p>
      <w:pPr>
        <w:pStyle w:val="BodyText"/>
      </w:pPr>
      <w:r>
        <w:t xml:space="preserve">The N ∈ {60, 120} pool-density arm was listed here as outstanding in v0.1 and</w:t>
      </w:r>
      <w:r>
        <w:t xml:space="preserve"> </w:t>
      </w:r>
      <w:r>
        <w:rPr>
          <w:bCs/>
          <w:b/>
        </w:rPr>
        <w:t xml:space="preserve">has since been executed</w:t>
      </w:r>
      <w:r>
        <w:t xml:space="preserve">: §8.9 reports it over five configurations and 800 runs (Table 21). It confirmed the concern that motivated it — the dominance</w:t>
      </w:r>
      <w:r>
        <w:t xml:space="preserve"> </w:t>
      </w:r>
      <w:r>
        <w:rPr>
          <w:iCs/>
          <w:i/>
        </w:rPr>
        <w:t xml:space="preserve">rate</w:t>
      </w:r>
      <w:r>
        <w:t xml:space="preserve"> </w:t>
      </w:r>
      <w:r>
        <w:t xml:space="preserve">moves from 17.6% to 51.1% with pool configuration, while the rent gap moves only from +$518 to +$564 — which is why this paper treats the dollar-denominated measure as the transportable quantity and always quotes P2a with its configuration.</w:t>
      </w:r>
    </w:p>
    <w:p>
      <w:r>
        <w:pict>
          <v:rect style="width:0;height:1.5pt" o:hralign="center" o:hrstd="t" o:hr="t"/>
        </w:pict>
      </w:r>
    </w:p>
    <w:bookmarkEnd w:id="33"/>
    <w:bookmarkEnd w:id="34"/>
    <w:bookmarkStart w:id="41" w:name="data"/>
    <w:p>
      <w:pPr>
        <w:pStyle w:val="Heading2"/>
      </w:pPr>
      <w:r>
        <w:t xml:space="preserve">5. Data</w:t>
      </w:r>
    </w:p>
    <w:bookmarkStart w:id="35"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5"/>
    <w:bookmarkStart w:id="36"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6"/>
    <w:bookmarkStart w:id="37" w:name="tract-covariates"/>
    <w:p>
      <w:pPr>
        <w:pStyle w:val="Heading3"/>
      </w:pPr>
      <w:r>
        <w:t xml:space="preserve">5.3 Tract covariates</w:t>
      </w:r>
    </w:p>
    <w:p>
      <w:pPr>
        <w:pStyle w:val="FirstParagraph"/>
      </w:pPr>
      <w:r>
        <w:t xml:space="preserve">ACS 5-year estimates at census-tract level were specified as: median household income, median gross rent, rent burden, renter share, and racial and ethnic composition. They were to enter the analysis</w:t>
      </w:r>
      <w:r>
        <w:t xml:space="preserve"> </w:t>
      </w:r>
      <w:r>
        <w:rPr>
          <w:bCs/>
          <w:b/>
        </w:rPr>
        <w:t xml:space="preserve">only</w:t>
      </w:r>
      <w:r>
        <w:t xml:space="preserve"> </w:t>
      </w:r>
      <w:r>
        <w:t xml:space="preserve">as the neighborhood-exposure outcome (§6, S3) and as descriptive context, and are not inputs to the feasible set, the dominance computation, or any primary outcome.</w:t>
      </w:r>
    </w:p>
    <w:p>
      <w:pPr>
        <w:pStyle w:val="BodyText"/>
      </w:pPr>
      <w:r>
        <w:t xml:space="preserve">These covariates</w:t>
      </w:r>
      <w:r>
        <w:t xml:space="preserve"> </w:t>
      </w:r>
      <w:r>
        <w:rPr>
          <w:bCs/>
          <w:b/>
        </w:rPr>
        <w:t xml:space="preserve">were</w:t>
      </w:r>
      <w:r>
        <w:t xml:space="preserve"> </w:t>
      </w:r>
      <w:r>
        <w:t xml:space="preserve">retrieved, in</w:t>
      </w:r>
      <w:r>
        <w:t xml:space="preserve"> </w:t>
      </w:r>
      <w:r>
        <w:rPr>
          <w:rStyle w:val="VerbatimChar"/>
        </w:rPr>
        <w:t xml:space="preserve">code/17_fetch_acs.py</w:t>
      </w:r>
      <w:r>
        <w:t xml:space="preserve">, for all</w:t>
      </w:r>
      <w:r>
        <w:t xml:space="preserve"> </w:t>
      </w:r>
      <w:r>
        <w:rPr>
          <w:bCs/>
          <w:b/>
        </w:rPr>
        <w:t xml:space="preserve">2,327</w:t>
      </w:r>
      <w:r>
        <w:t xml:space="preserve"> </w:t>
      </w:r>
      <w:r>
        <w:t xml:space="preserve">census tracts in the five New York counties, matching the tract count in the TIGER geometry used for the spatial join. 99.5% of listings resolve to a tract with a non-suppressed median-income estimate; the remainder fall in tracts where ACS suppresses the estimate for small population, and are dropped from S3 only.</w:t>
      </w:r>
    </w:p>
    <w:p>
      <w:pPr>
        <w:pStyle w:val="BodyText"/>
      </w:pPr>
      <w:r>
        <w:t xml:space="preserve">An earlier version of this paper reported these covariates as not retrieved and dropped the S3 measure accordingly. That was a consequence of the Census API key not yet being available, not of any design decision, and it has been corrected: S3 is reported in §8.11.</w:t>
      </w:r>
    </w:p>
    <w:bookmarkEnd w:id="37"/>
    <w:bookmarkStart w:id="38"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w:t>
      </w:r>
      <w:r>
        <w:t xml:space="preserve"> </w:t>
      </w:r>
      <w:r>
        <w:rPr>
          <w:bCs/>
          <w:b/>
        </w:rPr>
        <w:t xml:space="preserve">Table 2b</w:t>
      </w:r>
      <w:r>
        <w:t xml:space="preserve">; Table 2a reports a separate and fully computed exclusion check, the walk-access radius.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and borough distribution of the listing sample against NYCHVS 2023 and ACS 2023.</w:t>
      </w:r>
      <w:r>
        <w:t xml:space="preserve"> </w:t>
      </w:r>
      <w:r>
        <w:t xml:space="preserve">Gross rent, weighted by the NYCHVS final household weight</w:t>
      </w:r>
      <w:r>
        <w:t xml:space="preserve"> </w:t>
      </w:r>
      <w:r>
        <w:rPr>
          <w:rStyle w:val="VerbatimChar"/>
        </w:rPr>
        <w:t xml:space="preserve">FW</w:t>
      </w:r>
      <w:r>
        <w:t xml:space="preserve">. The NYCHVS rent benchmark requires no API key; the ACS borough benchmark below requires one and it was obtained (Appendix D, item 9). Tenure coding was verified rather than assumed — the renter code carries positive gross rent and zero owner cost, and yields a weighted renter share of</w:t>
      </w:r>
      <w:r>
        <w:t xml:space="preserve"> </w:t>
      </w:r>
      <w:r>
        <w:rPr>
          <w:bCs/>
          <w:b/>
        </w:rPr>
        <w:t xml:space="preserve">67.7%</w:t>
      </w:r>
      <w:r>
        <w:t xml:space="preserve">, matching the published New York figure. Cases coded no-cash-rent are excluded, so the benchmark is the distribution of cash gross rent.</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Decile</w:t>
            </w:r>
          </w:p>
        </w:tc>
        <w:tc>
          <w:p>
            <w:pPr>
              <w:pStyle w:val="Compact"/>
              <w:jc w:val="left"/>
            </w:pPr>
            <w:r>
              <w:t xml:space="preserve">Sample (asking rent)</w:t>
            </w:r>
          </w:p>
        </w:tc>
        <w:tc>
          <w:p>
            <w:pPr>
              <w:pStyle w:val="Compact"/>
              <w:jc w:val="left"/>
            </w:pPr>
            <w:r>
              <w:t xml:space="preserve">NYCHVS: all renters</w:t>
            </w:r>
          </w:p>
        </w:tc>
        <w:tc>
          <w:p>
            <w:pPr>
              <w:pStyle w:val="Compact"/>
              <w:jc w:val="left"/>
            </w:pPr>
            <w:r>
              <w:t xml:space="preserve">NYCHVS: moved 2021–23</w:t>
            </w:r>
          </w:p>
        </w:tc>
        <w:tc>
          <w:p>
            <w:pPr>
              <w:pStyle w:val="Compact"/>
              <w:jc w:val="left"/>
            </w:pPr>
            <w:r>
              <w:t xml:space="preserve">NYCHVS: moved 2021–23, unsubsidised</w:t>
            </w:r>
          </w:p>
        </w:tc>
      </w:tr>
      <w:tr>
        <w:tc>
          <w:p>
            <w:pPr>
              <w:pStyle w:val="Compact"/>
              <w:jc w:val="left"/>
            </w:pPr>
            <w:r>
              <w:t xml:space="preserve">p10</w:t>
            </w:r>
          </w:p>
        </w:tc>
        <w:tc>
          <w:p>
            <w:pPr>
              <w:pStyle w:val="Compact"/>
              <w:jc w:val="left"/>
            </w:pPr>
            <w:r>
              <w:t xml:space="preserve">$2,867</w:t>
            </w:r>
          </w:p>
        </w:tc>
        <w:tc>
          <w:p>
            <w:pPr>
              <w:pStyle w:val="Compact"/>
              <w:jc w:val="left"/>
            </w:pPr>
            <w:r>
              <w:t xml:space="preserve">$613</w:t>
            </w:r>
          </w:p>
        </w:tc>
        <w:tc>
          <w:p>
            <w:pPr>
              <w:pStyle w:val="Compact"/>
              <w:jc w:val="left"/>
            </w:pPr>
            <w:r>
              <w:t xml:space="preserve">$1,150</w:t>
            </w:r>
          </w:p>
        </w:tc>
        <w:tc>
          <w:p>
            <w:pPr>
              <w:pStyle w:val="Compact"/>
              <w:jc w:val="left"/>
            </w:pPr>
            <w:r>
              <w:t xml:space="preserve">$1,283</w:t>
            </w:r>
          </w:p>
        </w:tc>
      </w:tr>
      <w:tr>
        <w:tc>
          <w:p>
            <w:pPr>
              <w:pStyle w:val="Compact"/>
              <w:jc w:val="left"/>
            </w:pPr>
            <w:r>
              <w:t xml:space="preserve">p20</w:t>
            </w:r>
          </w:p>
        </w:tc>
        <w:tc>
          <w:p>
            <w:pPr>
              <w:pStyle w:val="Compact"/>
              <w:jc w:val="left"/>
            </w:pPr>
            <w:r>
              <w:t xml:space="preserve">$3,224</w:t>
            </w:r>
          </w:p>
        </w:tc>
        <w:tc>
          <w:p>
            <w:pPr>
              <w:pStyle w:val="Compact"/>
              <w:jc w:val="left"/>
            </w:pPr>
            <w:r>
              <w:t xml:space="preserve">$1,031</w:t>
            </w:r>
          </w:p>
        </w:tc>
        <w:tc>
          <w:p>
            <w:pPr>
              <w:pStyle w:val="Compact"/>
              <w:jc w:val="left"/>
            </w:pPr>
            <w:r>
              <w:t xml:space="preserve">$1,543</w:t>
            </w:r>
          </w:p>
        </w:tc>
        <w:tc>
          <w:p>
            <w:pPr>
              <w:pStyle w:val="Compact"/>
              <w:jc w:val="left"/>
            </w:pPr>
            <w:r>
              <w:t xml:space="preserve">$1,598</w:t>
            </w:r>
          </w:p>
        </w:tc>
      </w:tr>
      <w:tr>
        <w:tc>
          <w:p>
            <w:pPr>
              <w:pStyle w:val="Compact"/>
              <w:jc w:val="left"/>
            </w:pPr>
            <w:r>
              <w:t xml:space="preserve">p30</w:t>
            </w:r>
          </w:p>
        </w:tc>
        <w:tc>
          <w:p>
            <w:pPr>
              <w:pStyle w:val="Compact"/>
              <w:jc w:val="left"/>
            </w:pPr>
            <w:r>
              <w:t xml:space="preserve">$3,500</w:t>
            </w:r>
          </w:p>
        </w:tc>
        <w:tc>
          <w:p>
            <w:pPr>
              <w:pStyle w:val="Compact"/>
              <w:jc w:val="left"/>
            </w:pPr>
            <w:r>
              <w:t xml:space="preserve">$1,270</w:t>
            </w:r>
          </w:p>
        </w:tc>
        <w:tc>
          <w:p>
            <w:pPr>
              <w:pStyle w:val="Compact"/>
              <w:jc w:val="left"/>
            </w:pPr>
            <w:r>
              <w:t xml:space="preserve">$1,765</w:t>
            </w:r>
          </w:p>
        </w:tc>
        <w:tc>
          <w:p>
            <w:pPr>
              <w:pStyle w:val="Compact"/>
              <w:jc w:val="left"/>
            </w:pPr>
            <w:r>
              <w:t xml:space="preserve">$1,850</w:t>
            </w:r>
          </w:p>
        </w:tc>
      </w:tr>
      <w:tr>
        <w:tc>
          <w:p>
            <w:pPr>
              <w:pStyle w:val="Compact"/>
              <w:jc w:val="left"/>
            </w:pPr>
            <w:r>
              <w:t xml:space="preserve">p40</w:t>
            </w:r>
          </w:p>
        </w:tc>
        <w:tc>
          <w:p>
            <w:pPr>
              <w:pStyle w:val="Compact"/>
              <w:jc w:val="left"/>
            </w:pPr>
            <w:r>
              <w:t xml:space="preserve">$3,850</w:t>
            </w:r>
          </w:p>
        </w:tc>
        <w:tc>
          <w:p>
            <w:pPr>
              <w:pStyle w:val="Compact"/>
              <w:jc w:val="left"/>
            </w:pPr>
            <w:r>
              <w:t xml:space="preserve">$1,484</w:t>
            </w:r>
          </w:p>
        </w:tc>
        <w:tc>
          <w:p>
            <w:pPr>
              <w:pStyle w:val="Compact"/>
              <w:jc w:val="left"/>
            </w:pPr>
            <w:r>
              <w:t xml:space="preserve">$2,019</w:t>
            </w:r>
          </w:p>
        </w:tc>
        <w:tc>
          <w:p>
            <w:pPr>
              <w:pStyle w:val="Compact"/>
              <w:jc w:val="left"/>
            </w:pPr>
            <w:r>
              <w:t xml:space="preserve">$2,106</w:t>
            </w:r>
          </w:p>
        </w:tc>
      </w:tr>
      <w:tr>
        <w:tc>
          <w:p>
            <w:pPr>
              <w:pStyle w:val="Compact"/>
              <w:jc w:val="left"/>
            </w:pPr>
            <w:r>
              <w:t xml:space="preserve">p50</w:t>
            </w:r>
          </w:p>
        </w:tc>
        <w:tc>
          <w:p>
            <w:pPr>
              <w:pStyle w:val="Compact"/>
              <w:jc w:val="left"/>
            </w:pPr>
            <w:r>
              <w:rPr>
                <w:bCs/>
                <w:b/>
              </w:rPr>
              <w:t xml:space="preserve">$4,200</w:t>
            </w:r>
          </w:p>
        </w:tc>
        <w:tc>
          <w:p>
            <w:pPr>
              <w:pStyle w:val="Compact"/>
              <w:jc w:val="left"/>
            </w:pPr>
            <w:r>
              <w:rPr>
                <w:bCs/>
                <w:b/>
              </w:rPr>
              <w:t xml:space="preserve">$1,694</w:t>
            </w:r>
          </w:p>
        </w:tc>
        <w:tc>
          <w:p>
            <w:pPr>
              <w:pStyle w:val="Compact"/>
              <w:jc w:val="left"/>
            </w:pPr>
            <w:r>
              <w:rPr>
                <w:bCs/>
                <w:b/>
              </w:rPr>
              <w:t xml:space="preserve">$2,300</w:t>
            </w:r>
          </w:p>
        </w:tc>
        <w:tc>
          <w:p>
            <w:pPr>
              <w:pStyle w:val="Compact"/>
              <w:jc w:val="left"/>
            </w:pPr>
            <w:r>
              <w:rPr>
                <w:bCs/>
                <w:b/>
              </w:rPr>
              <w:t xml:space="preserve">$2,385</w:t>
            </w:r>
          </w:p>
        </w:tc>
      </w:tr>
      <w:tr>
        <w:tc>
          <w:p>
            <w:pPr>
              <w:pStyle w:val="Compact"/>
              <w:jc w:val="left"/>
            </w:pPr>
            <w:r>
              <w:t xml:space="preserve">p60</w:t>
            </w:r>
          </w:p>
        </w:tc>
        <w:tc>
          <w:p>
            <w:pPr>
              <w:pStyle w:val="Compact"/>
              <w:jc w:val="left"/>
            </w:pPr>
            <w:r>
              <w:t xml:space="preserve">$4,575</w:t>
            </w:r>
          </w:p>
        </w:tc>
        <w:tc>
          <w:p>
            <w:pPr>
              <w:pStyle w:val="Compact"/>
              <w:jc w:val="left"/>
            </w:pPr>
            <w:r>
              <w:t xml:space="preserve">$1,924</w:t>
            </w:r>
          </w:p>
        </w:tc>
        <w:tc>
          <w:p>
            <w:pPr>
              <w:pStyle w:val="Compact"/>
              <w:jc w:val="left"/>
            </w:pPr>
            <w:r>
              <w:t xml:space="preserve">$2,700</w:t>
            </w:r>
          </w:p>
        </w:tc>
        <w:tc>
          <w:p>
            <w:pPr>
              <w:pStyle w:val="Compact"/>
              <w:jc w:val="left"/>
            </w:pPr>
            <w:r>
              <w:t xml:space="preserve">$2,810</w:t>
            </w:r>
          </w:p>
        </w:tc>
      </w:tr>
      <w:tr>
        <w:tc>
          <w:p>
            <w:pPr>
              <w:pStyle w:val="Compact"/>
              <w:jc w:val="left"/>
            </w:pPr>
            <w:r>
              <w:t xml:space="preserve">p70</w:t>
            </w:r>
          </w:p>
        </w:tc>
        <w:tc>
          <w:p>
            <w:pPr>
              <w:pStyle w:val="Compact"/>
              <w:jc w:val="left"/>
            </w:pPr>
            <w:r>
              <w:t xml:space="preserve">$5,250</w:t>
            </w:r>
          </w:p>
        </w:tc>
        <w:tc>
          <w:p>
            <w:pPr>
              <w:pStyle w:val="Compact"/>
              <w:jc w:val="left"/>
            </w:pPr>
            <w:r>
              <w:t xml:space="preserve">$2,201</w:t>
            </w:r>
          </w:p>
        </w:tc>
        <w:tc>
          <w:p>
            <w:pPr>
              <w:pStyle w:val="Compact"/>
              <w:jc w:val="left"/>
            </w:pPr>
            <w:r>
              <w:t xml:space="preserve">$3,123</w:t>
            </w:r>
          </w:p>
        </w:tc>
        <w:tc>
          <w:p>
            <w:pPr>
              <w:pStyle w:val="Compact"/>
              <w:jc w:val="left"/>
            </w:pPr>
            <w:r>
              <w:t xml:space="preserve">$3,221</w:t>
            </w:r>
          </w:p>
        </w:tc>
      </w:tr>
      <w:tr>
        <w:tc>
          <w:p>
            <w:pPr>
              <w:pStyle w:val="Compact"/>
              <w:jc w:val="left"/>
            </w:pPr>
            <w:r>
              <w:t xml:space="preserve">p80</w:t>
            </w:r>
          </w:p>
        </w:tc>
        <w:tc>
          <w:p>
            <w:pPr>
              <w:pStyle w:val="Compact"/>
              <w:jc w:val="left"/>
            </w:pPr>
            <w:r>
              <w:t xml:space="preserve">$6,103</w:t>
            </w:r>
          </w:p>
        </w:tc>
        <w:tc>
          <w:p>
            <w:pPr>
              <w:pStyle w:val="Compact"/>
              <w:jc w:val="left"/>
            </w:pPr>
            <w:r>
              <w:t xml:space="preserve">$2,660</w:t>
            </w:r>
          </w:p>
        </w:tc>
        <w:tc>
          <w:p>
            <w:pPr>
              <w:pStyle w:val="Compact"/>
              <w:jc w:val="left"/>
            </w:pPr>
            <w:r>
              <w:t xml:space="preserve">$3,608</w:t>
            </w:r>
          </w:p>
        </w:tc>
        <w:tc>
          <w:p>
            <w:pPr>
              <w:pStyle w:val="Compact"/>
              <w:jc w:val="left"/>
            </w:pPr>
            <w:r>
              <w:t xml:space="preserve">$3,708</w:t>
            </w:r>
          </w:p>
        </w:tc>
      </w:tr>
      <w:tr>
        <w:tc>
          <w:p>
            <w:pPr>
              <w:pStyle w:val="Compact"/>
              <w:jc w:val="left"/>
            </w:pPr>
            <w:r>
              <w:t xml:space="preserve">p90</w:t>
            </w:r>
          </w:p>
        </w:tc>
        <w:tc>
          <w:p>
            <w:pPr>
              <w:pStyle w:val="Compact"/>
              <w:jc w:val="left"/>
            </w:pPr>
            <w:r>
              <w:t xml:space="preserve">$7,680</w:t>
            </w:r>
          </w:p>
        </w:tc>
        <w:tc>
          <w:p>
            <w:pPr>
              <w:pStyle w:val="Compact"/>
              <w:jc w:val="left"/>
            </w:pPr>
            <w:r>
              <w:t xml:space="preserve">$3,470</w:t>
            </w:r>
          </w:p>
        </w:tc>
        <w:tc>
          <w:p>
            <w:pPr>
              <w:pStyle w:val="Compact"/>
              <w:jc w:val="left"/>
            </w:pPr>
            <w:r>
              <w:t xml:space="preserve">$4,391</w:t>
            </w:r>
          </w:p>
        </w:tc>
        <w:tc>
          <w:p>
            <w:pPr>
              <w:pStyle w:val="Compact"/>
              <w:jc w:val="left"/>
            </w:pPr>
            <w:r>
              <w:t xml:space="preserve">$4,493</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5,893 records</w:t>
            </w:r>
          </w:p>
        </w:tc>
        <w:tc>
          <w:p>
            <w:pPr>
              <w:pStyle w:val="Compact"/>
              <w:jc w:val="left"/>
            </w:pPr>
            <w:r>
              <w:t xml:space="preserve">1,180</w:t>
            </w:r>
          </w:p>
        </w:tc>
        <w:tc>
          <w:p>
            <w:pPr>
              <w:pStyle w:val="Compact"/>
              <w:jc w:val="left"/>
            </w:pPr>
            <w:r>
              <w:t xml:space="preserve">1,038</w:t>
            </w:r>
          </w:p>
        </w:tc>
      </w:tr>
    </w:tbl>
    <w:p>
      <w:pPr>
        <w:pStyle w:val="BodyText"/>
      </w:pPr>
      <w:r>
        <w:rPr>
          <w:bCs/>
          <w:b/>
        </w:rPr>
        <w:t xml:space="preserve">The comparison must be read as flow against stock, not sample against population.</w:t>
      </w:r>
      <w:r>
        <w:t xml:space="preserve"> </w:t>
      </w:r>
      <w:r>
        <w:t xml:space="preserve">Our sample is</w:t>
      </w:r>
      <w:r>
        <w:t xml:space="preserve"> </w:t>
      </w:r>
      <w:r>
        <w:rPr>
          <w:iCs/>
          <w:i/>
        </w:rPr>
        <w:t xml:space="preserve">asking</w:t>
      </w:r>
      <w:r>
        <w:t xml:space="preserve"> </w:t>
      </w:r>
      <w:r>
        <w:t xml:space="preserve">rent on units currently available. NYCHVS gross rent over all renters is rent currently</w:t>
      </w:r>
      <w:r>
        <w:t xml:space="preserve"> </w:t>
      </w:r>
      <w:r>
        <w:rPr>
          <w:iCs/>
          <w:i/>
        </w:rPr>
        <w:t xml:space="preserve">paid</w:t>
      </w:r>
      <w:r>
        <w:t xml:space="preserve">, and New York’s occupied stock contains a large body of rent-stabilised, rent-controlled and subsidised tenancies of long duration that no listings sample can contain at any sampling intensity. Benchmarking against all renters therefore attributes a structural feature of the housing stock to our sampling, and overstates the coverage problem. We report three nested populations so the two effects can be separated, and treat</w:t>
      </w:r>
      <w:r>
        <w:t xml:space="preserve"> </w:t>
      </w:r>
      <w:r>
        <w:rPr>
          <w:bCs/>
          <w:b/>
        </w:rPr>
        <w:t xml:space="preserve">recent unsubsidised movers</w:t>
      </w:r>
      <w:r>
        <w:t xml:space="preserve"> </w:t>
      </w:r>
      <w:r>
        <w:t xml:space="preserve">as the fair comparison, since that is the market-rate flow a renter using a listings site actually faces.</w:t>
      </w:r>
    </w:p>
    <w:tbl>
      <w:tblPr>
        <w:tblStyle w:val="Table"/>
        <w:tblW w:type="pct" w:w="0.0"/>
        <w:tblLook w:firstRow="1" w:lastRow="0" w:firstColumn="0" w:lastColumn="0" w:noHBand="0" w:noVBand="0" w:val="0020"/>
      </w:tblPr>
      <w:tblGrid/>
      <w:tr>
        <w:tc>
          <w:p>
            <w:pPr>
              <w:pStyle w:val="Compact"/>
              <w:jc w:val="left"/>
            </w:pPr>
            <w:r>
              <w:t xml:space="preserve">Benchmark population</w:t>
            </w:r>
          </w:p>
        </w:tc>
        <w:tc>
          <w:p>
            <w:pPr>
              <w:pStyle w:val="Compact"/>
              <w:jc w:val="left"/>
            </w:pPr>
            <w:r>
              <w:t xml:space="preserve">Sample median as a percentile</w:t>
            </w:r>
          </w:p>
        </w:tc>
        <w:tc>
          <w:p>
            <w:pPr>
              <w:pStyle w:val="Compact"/>
              <w:jc w:val="left"/>
            </w:pPr>
            <w:r>
              <w:t xml:space="preserve">Ratio</w:t>
            </w:r>
          </w:p>
        </w:tc>
      </w:tr>
      <w:tr>
        <w:tc>
          <w:p>
            <w:pPr>
              <w:pStyle w:val="Compact"/>
              <w:jc w:val="left"/>
            </w:pPr>
            <w:r>
              <w:t xml:space="preserve">All renter households, cash rent</w:t>
            </w:r>
          </w:p>
        </w:tc>
        <w:tc>
          <w:p>
            <w:pPr>
              <w:pStyle w:val="Compact"/>
              <w:jc w:val="left"/>
            </w:pPr>
            <w:r>
              <w:t xml:space="preserve">95.0th</w:t>
            </w:r>
          </w:p>
        </w:tc>
        <w:tc>
          <w:p>
            <w:pPr>
              <w:pStyle w:val="Compact"/>
              <w:jc w:val="left"/>
            </w:pPr>
            <w:r>
              <w:t xml:space="preserve">2.48×</w:t>
            </w:r>
          </w:p>
        </w:tc>
      </w:tr>
      <w:tr>
        <w:tc>
          <w:p>
            <w:pPr>
              <w:pStyle w:val="Compact"/>
              <w:jc w:val="left"/>
            </w:pPr>
            <w:r>
              <w:t xml:space="preserve">Moved in 2021–23</w:t>
            </w:r>
          </w:p>
        </w:tc>
        <w:tc>
          <w:p>
            <w:pPr>
              <w:pStyle w:val="Compact"/>
              <w:jc w:val="left"/>
            </w:pPr>
            <w:r>
              <w:t xml:space="preserve">88.2th</w:t>
            </w:r>
          </w:p>
        </w:tc>
        <w:tc>
          <w:p>
            <w:pPr>
              <w:pStyle w:val="Compact"/>
              <w:jc w:val="left"/>
            </w:pPr>
            <w:r>
              <w:t xml:space="preserve">1.83×</w:t>
            </w:r>
          </w:p>
        </w:tc>
      </w:tr>
      <w:tr>
        <w:tc>
          <w:p>
            <w:pPr>
              <w:pStyle w:val="Compact"/>
              <w:jc w:val="left"/>
            </w:pPr>
            <w:r>
              <w:t xml:space="preserve">Moved in 2021–23, no rent assistance</w:t>
            </w:r>
          </w:p>
        </w:tc>
        <w:tc>
          <w:p>
            <w:pPr>
              <w:pStyle w:val="Compact"/>
              <w:jc w:val="left"/>
            </w:pPr>
            <w:r>
              <w:rPr>
                <w:bCs/>
                <w:b/>
              </w:rPr>
              <w:t xml:space="preserve">87.0th</w:t>
            </w:r>
          </w:p>
        </w:tc>
        <w:tc>
          <w:p>
            <w:pPr>
              <w:pStyle w:val="Compact"/>
              <w:jc w:val="left"/>
            </w:pPr>
            <w:r>
              <w:rPr>
                <w:bCs/>
                <w:b/>
              </w:rPr>
              <w:t xml:space="preserve">1.76×</w:t>
            </w:r>
          </w:p>
        </w:tc>
      </w:tr>
    </w:tbl>
    <w:p>
      <w:pPr>
        <w:pStyle w:val="BodyText"/>
      </w:pPr>
      <w:r>
        <w:rPr>
          <w:bCs/>
          <w:b/>
        </w:rPr>
        <w:t xml:space="preserve">The honest statement is 1.76×, not 2.48×.</w:t>
      </w:r>
      <w:r>
        <w:t xml:space="preserve"> </w:t>
      </w:r>
      <w:r>
        <w:t xml:space="preserve">Against the market-rate flow, the median listing in our sample rents for 1.76 times the median recent unsubsidised letting, and sits at roughly the</w:t>
      </w:r>
      <w:r>
        <w:t xml:space="preserve"> </w:t>
      </w:r>
      <w:r>
        <w:rPr>
          <w:bCs/>
          <w:b/>
        </w:rPr>
        <w:t xml:space="preserve">87th percentile</w:t>
      </w:r>
      <w:r>
        <w:t xml:space="preserve"> </w:t>
      </w:r>
      <w:r>
        <w:t xml:space="preserve">of that distribution. The sample is drawn from approximately the upper eighth of the New York rental market by price. This is a substantial upward bias and it is consistent in direction with both the walk-access exclusion (Table 2a) and the borough composition above.</w:t>
      </w:r>
    </w:p>
    <w:p>
      <w:pPr>
        <w:pStyle w:val="BodyText"/>
      </w:pPr>
      <w:r>
        <w:t xml:space="preserve">Three consequences, stated in the terms Section 9 needs:</w:t>
      </w:r>
    </w:p>
    <w:p>
      <w:pPr>
        <w:numPr>
          <w:ilvl w:val="0"/>
          <w:numId w:val="1008"/>
        </w:numPr>
        <w:pStyle w:val="Compact"/>
      </w:pPr>
      <w:r>
        <w:rPr>
          <w:bCs/>
          <w:b/>
        </w:rPr>
        <w:t xml:space="preserve">The internal comparisons are unaffected.</w:t>
      </w:r>
      <w:r>
        <w:t xml:space="preserve"> </w:t>
      </w:r>
      <w:r>
        <w:t xml:space="preserve">Every primary outcome is computed within a scenario against a pool held fixed across conditions, so a level shift in the rent distribution cannot move a dominance rate or a within-scenario contrast. Nothing in §8 depends on the sample being representative.</w:t>
      </w:r>
    </w:p>
    <w:p>
      <w:pPr>
        <w:numPr>
          <w:ilvl w:val="0"/>
          <w:numId w:val="1008"/>
        </w:numPr>
        <w:pStyle w:val="Compact"/>
      </w:pPr>
      <w:r>
        <w:rPr>
          <w:bCs/>
          <w:b/>
        </w:rPr>
        <w:t xml:space="preserve">The dollar magnitudes are segment-specific.</w:t>
      </w:r>
      <w:r>
        <w:t xml:space="preserve"> </w:t>
      </w:r>
      <w:r>
        <w:t xml:space="preserve">The $900/month median dominance gap and the +$606/month residual gap pertain to the transit-accessible, market-rate, upper-decile segment. They should not be read as the loss facing a median New York renter, and we do not claim they are. Whether the gap scales with rent level, is constant in dollars, or is roughly proportional is not identified by our design.</w:t>
      </w:r>
    </w:p>
    <w:p>
      <w:pPr>
        <w:numPr>
          <w:ilvl w:val="0"/>
          <w:numId w:val="1008"/>
        </w:numPr>
        <w:pStyle w:val="Compact"/>
      </w:pPr>
      <w:r>
        <w:rPr>
          <w:bCs/>
          <w:b/>
        </w:rPr>
        <w:t xml:space="preserve">The direction of the likely error is knowable.</w:t>
      </w:r>
      <w:r>
        <w:t xml:space="preserve"> </w:t>
      </w:r>
      <w:r>
        <w:t xml:space="preserve">If the gap is proportional to rent, our absolute dollar figures overstate the loss for a median renter while the</w:t>
      </w:r>
      <w:r>
        <w:t xml:space="preserve"> </w:t>
      </w:r>
      <w:r>
        <w:rPr>
          <w:iCs/>
          <w:i/>
        </w:rPr>
        <w:t xml:space="preserve">relative</w:t>
      </w:r>
      <w:r>
        <w:t xml:space="preserve"> </w:t>
      </w:r>
      <w:r>
        <w:t xml:space="preserve">loss travels; if it is roughly constant in dollars, they transfer directly. A sample spanning the lower deciles would settle this and is the single highest-value extension to the data collection.</w:t>
      </w:r>
    </w:p>
    <w:p>
      <w:pPr>
        <w:pStyle w:val="FirstParagraph"/>
      </w:pPr>
      <w:r>
        <w:rPr>
          <w:bCs/>
          <w:b/>
        </w:rPr>
        <w:t xml:space="preserve">Borough composition against ACS renter-occupied units.</w:t>
      </w:r>
      <w:r>
        <w:t xml:space="preserve"> </w:t>
      </w:r>
      <w:r>
        <w:t xml:space="preserve">ACS 2023 5-year, table B25003, all five New York counties. NYCHVS borough shares are shown alongside as an independent check; the two sources agree to within 1.2 percentage points on every borough, which is reassuring for both.</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Borough</w:t>
            </w:r>
          </w:p>
        </w:tc>
        <w:tc>
          <w:p>
            <w:pPr>
              <w:pStyle w:val="Compact"/>
              <w:jc w:val="left"/>
            </w:pPr>
            <w:r>
              <w:t xml:space="preserve">Sample share</w:t>
            </w:r>
          </w:p>
        </w:tc>
        <w:tc>
          <w:p>
            <w:pPr>
              <w:pStyle w:val="Compact"/>
              <w:jc w:val="left"/>
            </w:pPr>
            <w:r>
              <w:t xml:space="preserve">ACS renter-occupied</w:t>
            </w:r>
          </w:p>
        </w:tc>
        <w:tc>
          <w:p>
            <w:pPr>
              <w:pStyle w:val="Compact"/>
              <w:jc w:val="left"/>
            </w:pPr>
            <w:r>
              <w:t xml:space="preserve">NYCHVS renter households</w:t>
            </w:r>
          </w:p>
        </w:tc>
        <w:tc>
          <w:p>
            <w:pPr>
              <w:pStyle w:val="Compact"/>
              <w:jc w:val="left"/>
            </w:pPr>
            <w:r>
              <w:t xml:space="preserve">Sample ÷ ACS</w:t>
            </w:r>
          </w:p>
        </w:tc>
      </w:tr>
      <w:tr>
        <w:tc>
          <w:p>
            <w:pPr>
              <w:pStyle w:val="Compact"/>
              <w:jc w:val="left"/>
            </w:pPr>
            <w:r>
              <w:t xml:space="preserve">Manhattan</w:t>
            </w:r>
          </w:p>
        </w:tc>
        <w:tc>
          <w:p>
            <w:pPr>
              <w:pStyle w:val="Compact"/>
              <w:jc w:val="left"/>
            </w:pPr>
            <w:r>
              <w:t xml:space="preserve">37.3%</w:t>
            </w:r>
          </w:p>
        </w:tc>
        <w:tc>
          <w:p>
            <w:pPr>
              <w:pStyle w:val="Compact"/>
              <w:jc w:val="left"/>
            </w:pPr>
            <w:r>
              <w:t xml:space="preserve">26.2%</w:t>
            </w:r>
          </w:p>
        </w:tc>
        <w:tc>
          <w:p>
            <w:pPr>
              <w:pStyle w:val="Compact"/>
              <w:jc w:val="left"/>
            </w:pPr>
            <w:r>
              <w:t xml:space="preserve">25.3%</w:t>
            </w:r>
          </w:p>
        </w:tc>
        <w:tc>
          <w:p>
            <w:pPr>
              <w:pStyle w:val="Compact"/>
              <w:jc w:val="left"/>
            </w:pPr>
            <w:r>
              <w:rPr>
                <w:bCs/>
                <w:b/>
              </w:rPr>
              <w:t xml:space="preserve">1.42×</w:t>
            </w:r>
          </w:p>
        </w:tc>
      </w:tr>
      <w:tr>
        <w:tc>
          <w:p>
            <w:pPr>
              <w:pStyle w:val="Compact"/>
              <w:jc w:val="left"/>
            </w:pPr>
            <w:r>
              <w:t xml:space="preserve">Brooklyn</w:t>
            </w:r>
          </w:p>
        </w:tc>
        <w:tc>
          <w:p>
            <w:pPr>
              <w:pStyle w:val="Compact"/>
              <w:jc w:val="left"/>
            </w:pPr>
            <w:r>
              <w:t xml:space="preserve">36.0%</w:t>
            </w:r>
          </w:p>
        </w:tc>
        <w:tc>
          <w:p>
            <w:pPr>
              <w:pStyle w:val="Compact"/>
              <w:jc w:val="left"/>
            </w:pPr>
            <w:r>
              <w:t xml:space="preserve">31.9%</w:t>
            </w:r>
          </w:p>
        </w:tc>
        <w:tc>
          <w:p>
            <w:pPr>
              <w:pStyle w:val="Compact"/>
              <w:jc w:val="left"/>
            </w:pPr>
            <w:r>
              <w:t xml:space="preserve">30.9%</w:t>
            </w:r>
          </w:p>
        </w:tc>
        <w:tc>
          <w:p>
            <w:pPr>
              <w:pStyle w:val="Compact"/>
              <w:jc w:val="left"/>
            </w:pPr>
            <w:r>
              <w:t xml:space="preserve">1.13×</w:t>
            </w:r>
          </w:p>
        </w:tc>
      </w:tr>
      <w:tr>
        <w:tc>
          <w:p>
            <w:pPr>
              <w:pStyle w:val="Compact"/>
              <w:jc w:val="left"/>
            </w:pPr>
            <w:r>
              <w:t xml:space="preserve">Queens</w:t>
            </w:r>
          </w:p>
        </w:tc>
        <w:tc>
          <w:p>
            <w:pPr>
              <w:pStyle w:val="Compact"/>
              <w:jc w:val="left"/>
            </w:pPr>
            <w:r>
              <w:t xml:space="preserve">13.5%</w:t>
            </w:r>
          </w:p>
        </w:tc>
        <w:tc>
          <w:p>
            <w:pPr>
              <w:pStyle w:val="Compact"/>
              <w:jc w:val="left"/>
            </w:pPr>
            <w:r>
              <w:t xml:space="preserve">20.5%</w:t>
            </w:r>
          </w:p>
        </w:tc>
        <w:tc>
          <w:p>
            <w:pPr>
              <w:pStyle w:val="Compact"/>
              <w:jc w:val="left"/>
            </w:pPr>
            <w:r>
              <w:t xml:space="preserve">20.8%</w:t>
            </w:r>
          </w:p>
        </w:tc>
        <w:tc>
          <w:p>
            <w:pPr>
              <w:pStyle w:val="Compact"/>
              <w:jc w:val="left"/>
            </w:pPr>
            <w:r>
              <w:rPr>
                <w:bCs/>
                <w:b/>
              </w:rPr>
              <w:t xml:space="preserve">0.66×</w:t>
            </w:r>
          </w:p>
        </w:tc>
      </w:tr>
      <w:tr>
        <w:tc>
          <w:p>
            <w:pPr>
              <w:pStyle w:val="Compact"/>
              <w:jc w:val="left"/>
            </w:pPr>
            <w:r>
              <w:t xml:space="preserve">Bronx</w:t>
            </w:r>
          </w:p>
        </w:tc>
        <w:tc>
          <w:p>
            <w:pPr>
              <w:pStyle w:val="Compact"/>
              <w:jc w:val="left"/>
            </w:pPr>
            <w:r>
              <w:t xml:space="preserve">11.7%</w:t>
            </w:r>
          </w:p>
        </w:tc>
        <w:tc>
          <w:p>
            <w:pPr>
              <w:pStyle w:val="Compact"/>
              <w:jc w:val="left"/>
            </w:pPr>
            <w:r>
              <w:t xml:space="preserve">19.0%</w:t>
            </w:r>
          </w:p>
        </w:tc>
        <w:tc>
          <w:p>
            <w:pPr>
              <w:pStyle w:val="Compact"/>
              <w:jc w:val="left"/>
            </w:pPr>
            <w:r>
              <w:t xml:space="preserve">20.1%</w:t>
            </w:r>
          </w:p>
        </w:tc>
        <w:tc>
          <w:p>
            <w:pPr>
              <w:pStyle w:val="Compact"/>
              <w:jc w:val="left"/>
            </w:pPr>
            <w:r>
              <w:rPr>
                <w:bCs/>
                <w:b/>
              </w:rPr>
              <w:t xml:space="preserve">0.62×</w:t>
            </w:r>
          </w:p>
        </w:tc>
      </w:tr>
      <w:tr>
        <w:tc>
          <w:p>
            <w:pPr>
              <w:pStyle w:val="Compact"/>
              <w:jc w:val="left"/>
            </w:pPr>
            <w:r>
              <w:t xml:space="preserve">Staten Island</w:t>
            </w:r>
          </w:p>
        </w:tc>
        <w:tc>
          <w:p>
            <w:pPr>
              <w:pStyle w:val="Compact"/>
              <w:jc w:val="left"/>
            </w:pPr>
            <w:r>
              <w:t xml:space="preserve">1.6%</w:t>
            </w:r>
          </w:p>
        </w:tc>
        <w:tc>
          <w:p>
            <w:pPr>
              <w:pStyle w:val="Compact"/>
              <w:jc w:val="left"/>
            </w:pPr>
            <w:r>
              <w:t xml:space="preserve">2.4%</w:t>
            </w:r>
          </w:p>
        </w:tc>
        <w:tc>
          <w:p>
            <w:pPr>
              <w:pStyle w:val="Compact"/>
              <w:jc w:val="left"/>
            </w:pPr>
            <w:r>
              <w:t xml:space="preserve">2.9%</w:t>
            </w:r>
          </w:p>
        </w:tc>
        <w:tc>
          <w:p>
            <w:pPr>
              <w:pStyle w:val="Compact"/>
              <w:jc w:val="left"/>
            </w:pPr>
            <w:r>
              <w:t xml:space="preserve">0.67×</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2,226,896 units</w:t>
            </w:r>
          </w:p>
        </w:tc>
        <w:tc>
          <w:p>
            <w:pPr>
              <w:pStyle w:val="Compact"/>
              <w:jc w:val="left"/>
            </w:pPr>
            <w:r>
              <w:t xml:space="preserve">2,026,023 households</w:t>
            </w:r>
          </w:p>
        </w:tc>
        <w:tc>
          <w:p>
            <w:pPr>
              <w:pStyle w:val="Compact"/>
              <w:jc w:val="left"/>
            </w:pPr>
            <w:r>
              <w:t xml:space="preserve">—</w:t>
            </w:r>
          </w:p>
        </w:tc>
      </w:tr>
    </w:tbl>
    <w:p>
      <w:pPr>
        <w:pStyle w:val="BodyText"/>
      </w:pPr>
      <w:r>
        <w:t xml:space="preserve">Manhattan is over-represented by roughly half again, and the Bronx, Queens and Staten Island are each under-represented by a third or more. The composition bias therefore runs in the same direction as the rent bias and compounds it: the sample is drawn disproportionately from the most expensive borough, and within that borough from the upper deciles. Table 2b is now complete.</w:t>
      </w:r>
    </w:p>
    <w:bookmarkEnd w:id="38"/>
    <w:bookmarkStart w:id="40"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39"/>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9"/>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9"/>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0"/>
    <w:bookmarkEnd w:id="41"/>
    <w:bookmarkStart w:id="46"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2"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2"/>
    <w:bookmarkStart w:id="43"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w:t>
      </w:r>
      <w:r>
        <w:t xml:space="preserve"> </w:t>
      </w:r>
      <w:r>
        <w:t xml:space="preserve">Distribution of ACS tract characteristics across recommended listings: tract median household income, median gross rent, rent burden, renter share, and racial and ethnic composition. For each response we take the recommended listings, resolve each to its census tract, and summarise the set by the median tract value. The identity contrast is the within-scenario difference against the neutral baseline, using the same estimand and the same randomization procedure as every other outcome (§7.2). This is the measure that connects our results to the steering literature and permits comparison with Liu et al. (2024) and Samad et al. (2026), subject to the design limit stated in §8.11. Reported in §8.11 (Tables 22–24).</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3"/>
    <w:bookmarkStart w:id="44"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4"/>
    <w:bookmarkStart w:id="45"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5"/>
    <w:bookmarkEnd w:id="46"/>
    <w:bookmarkStart w:id="53" w:name="statistical-analysis"/>
    <w:p>
      <w:pPr>
        <w:pStyle w:val="Heading2"/>
      </w:pPr>
      <w:r>
        <w:t xml:space="preserve">7. Statistical Analysis</w:t>
      </w:r>
    </w:p>
    <w:bookmarkStart w:id="47"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(6,840). We state this explicitly because treating calls as independent observations is the characteristic inferential error of large-scale LLM audits.</w:t>
      </w:r>
    </w:p>
    <w:bookmarkEnd w:id="47"/>
    <w:bookmarkStart w:id="48"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8"/>
    <w:bookmarkStart w:id="49"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49"/>
    <w:bookmarkStart w:id="50"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0"/>
    <w:bookmarkStart w:id="51"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1"/>
    <w:bookmarkStart w:id="52" w:name="safeguards"/>
    <w:p>
      <w:pPr>
        <w:pStyle w:val="Heading3"/>
      </w:pPr>
      <w:r>
        <w:t xml:space="preserve">7.6 Safeguards</w:t>
      </w:r>
    </w:p>
    <w:p>
      <w:pPr>
        <w:numPr>
          <w:ilvl w:val="0"/>
          <w:numId w:val="1010"/>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10"/>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10"/>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10"/>
        </w:numPr>
        <w:pStyle w:val="Compact"/>
      </w:pPr>
      <w:r>
        <w:rPr>
          <w:bCs/>
          <w:b/>
        </w:rPr>
        <w:t xml:space="preserve">Snapshot logging</w:t>
      </w:r>
      <w:r>
        <w:t xml:space="preserve">: model identifier, API version, call timestamp, and full request/response recorded for every call.</w:t>
      </w:r>
    </w:p>
    <w:p>
      <w:pPr>
        <w:numPr>
          <w:ilvl w:val="0"/>
          <w:numId w:val="1010"/>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2"/>
    <w:bookmarkEnd w:id="53"/>
    <w:bookmarkStart w:id="68"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5"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5"/>
    <w:bookmarkStart w:id="57"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6"/>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7"/>
    <w:bookmarkStart w:id="58"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8"/>
    <w:bookmarkStart w:id="59"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59"/>
    <w:bookmarkStart w:id="60"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0"/>
    <w:bookmarkStart w:id="61"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1"/>
    <w:bookmarkStart w:id="62"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2"/>
    <w:bookmarkStart w:id="63"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3"/>
    <w:bookmarkStart w:id="64"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4"/>
    <w:bookmarkStart w:id="66"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5"/>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6"/>
    <w:bookmarkStart w:id="67" w:name="X21e9dc880403960a815c9b4c77b697bc0833efb"/>
    <w:p>
      <w:pPr>
        <w:pStyle w:val="Heading3"/>
      </w:pPr>
      <w:r>
        <w:t xml:space="preserve">8.11 Neighborhood exposure (S3) — no detectable identity conditioning</w:t>
      </w:r>
    </w:p>
    <w:p>
      <w:pPr>
        <w:pStyle w:val="FirstParagraph"/>
      </w:pPr>
      <w:r>
        <w:t xml:space="preserve">This is the measure that speaks to the steering literature, and it was the largest gap in earlier versions of this paper. ACS 2023 5-year covariates were retrieved for all 2,327 New York tracts (§5.3); 99.5% of listings resolve to a tract with a non-suppressed income estimate. For each of the</w:t>
      </w:r>
      <w:r>
        <w:t xml:space="preserve"> </w:t>
      </w:r>
      <w:r>
        <w:rPr>
          <w:bCs/>
          <w:b/>
        </w:rPr>
        <w:t xml:space="preserve">6,631</w:t>
      </w:r>
      <w:r>
        <w:t xml:space="preserve"> </w:t>
      </w:r>
      <w:r>
        <w:t xml:space="preserve">parsed responses we resolve the five recommended listings to their tracts and summarise the recommended set by its median tract value.</w:t>
      </w:r>
    </w:p>
    <w:p>
      <w:pPr>
        <w:pStyle w:val="BodyText"/>
      </w:pPr>
      <w:r>
        <w:rPr>
          <w:bCs/>
          <w:b/>
        </w:rPr>
        <w:t xml:space="preserve">Table 22. Median tract characteristics of recommended listings by identity condition</w:t>
      </w:r>
      <w:r>
        <w:t xml:space="preserve"> </w:t>
      </w:r>
      <w:r>
        <w:t xml:space="preserve">(</w:t>
      </w:r>
      <w:r>
        <w:rPr>
          <w:rStyle w:val="VerbatimChar"/>
        </w:rPr>
        <w:t xml:space="preserve">gpt-5.6-luna</w:t>
      </w:r>
      <w:r>
        <w:t xml:space="preserve">, S1 direct, 150 scenarios × 3 replicates).</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Condition</w:t>
            </w:r>
          </w:p>
        </w:tc>
        <w:tc>
          <w:p>
            <w:pPr>
              <w:pStyle w:val="Compact"/>
              <w:jc w:val="left"/>
            </w:pPr>
            <w:r>
              <w:t xml:space="preserve">Tract median HH income</w:t>
            </w:r>
          </w:p>
        </w:tc>
        <w:tc>
          <w:p>
            <w:pPr>
              <w:pStyle w:val="Compact"/>
              <w:jc w:val="left"/>
            </w:pPr>
            <w:r>
              <w:t xml:space="preserve">Tract median gross rent</w:t>
            </w:r>
          </w:p>
        </w:tc>
        <w:tc>
          <w:p>
            <w:pPr>
              <w:pStyle w:val="Compact"/>
              <w:jc w:val="left"/>
            </w:pPr>
            <w:r>
              <w:t xml:space="preserve">Rent burden (%)</w:t>
            </w:r>
          </w:p>
        </w:tc>
        <w:tc>
          <w:p>
            <w:pPr>
              <w:pStyle w:val="Compact"/>
              <w:jc w:val="left"/>
            </w:pPr>
            <w:r>
              <w:t xml:space="preserve">Renter share</w:t>
            </w:r>
          </w:p>
        </w:tc>
        <w:tc>
          <w:p>
            <w:pPr>
              <w:pStyle w:val="Compact"/>
              <w:jc w:val="left"/>
            </w:pPr>
            <w:r>
              <w:t xml:space="preserve">Share non-White</w:t>
            </w:r>
          </w:p>
        </w:tc>
        <w:tc>
          <w:p>
            <w:pPr>
              <w:pStyle w:val="Compact"/>
              <w:jc w:val="left"/>
            </w:pPr>
            <w:r>
              <w:t xml:space="preserve">Share Black</w:t>
            </w:r>
          </w:p>
        </w:tc>
        <w:tc>
          <w:p>
            <w:pPr>
              <w:pStyle w:val="Compact"/>
              <w:jc w:val="left"/>
            </w:pPr>
            <w:r>
              <w:t xml:space="preserve">Share Hispanic</w:t>
            </w:r>
          </w:p>
        </w:tc>
      </w:tr>
      <w:tr>
        <w:tc>
          <w:p>
            <w:pPr>
              <w:pStyle w:val="Compact"/>
              <w:jc w:val="left"/>
            </w:pPr>
            <w:r>
              <w:t xml:space="preserve">C0 neutral</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0.378</w:t>
            </w:r>
          </w:p>
        </w:tc>
        <w:tc>
          <w:p>
            <w:pPr>
              <w:pStyle w:val="Compact"/>
              <w:jc w:val="left"/>
            </w:pPr>
            <w:r>
              <w:t xml:space="preserve">0.042</w:t>
            </w:r>
          </w:p>
        </w:tc>
        <w:tc>
          <w:p>
            <w:pPr>
              <w:pStyle w:val="Compact"/>
              <w:jc w:val="left"/>
            </w:pPr>
            <w:r>
              <w:t xml:space="preserve">0.096</w:t>
            </w:r>
          </w:p>
        </w:tc>
      </w:tr>
      <w:tr>
        <w:tc>
          <w:p>
            <w:pPr>
              <w:pStyle w:val="Compact"/>
              <w:jc w:val="left"/>
            </w:pPr>
            <w:r>
              <w:t xml:space="preserve">C1 name A</w:t>
            </w:r>
          </w:p>
        </w:tc>
        <w:tc>
          <w:p>
            <w:pPr>
              <w:pStyle w:val="Compact"/>
              <w:jc w:val="left"/>
            </w:pPr>
            <w:r>
              <w:t xml:space="preserve">$158,125</w:t>
            </w:r>
          </w:p>
        </w:tc>
        <w:tc>
          <w:p>
            <w:pPr>
              <w:pStyle w:val="Compact"/>
              <w:jc w:val="left"/>
            </w:pPr>
            <w:r>
              <w:t xml:space="preserve">$2,911</w:t>
            </w:r>
          </w:p>
        </w:tc>
        <w:tc>
          <w:p>
            <w:pPr>
              <w:pStyle w:val="Compact"/>
              <w:jc w:val="left"/>
            </w:pPr>
            <w:r>
              <w:t xml:space="preserve">27.2</w:t>
            </w:r>
          </w:p>
        </w:tc>
        <w:tc>
          <w:p>
            <w:pPr>
              <w:pStyle w:val="Compact"/>
              <w:jc w:val="left"/>
            </w:pPr>
            <w:r>
              <w:t xml:space="preserve">0.837</w:t>
            </w:r>
          </w:p>
        </w:tc>
        <w:tc>
          <w:p>
            <w:pPr>
              <w:pStyle w:val="Compact"/>
              <w:jc w:val="left"/>
            </w:pPr>
            <w:r>
              <w:t xml:space="preserve">0.379</w:t>
            </w:r>
          </w:p>
        </w:tc>
        <w:tc>
          <w:p>
            <w:pPr>
              <w:pStyle w:val="Compact"/>
              <w:jc w:val="left"/>
            </w:pPr>
            <w:r>
              <w:t xml:space="preserve">0.047</w:t>
            </w:r>
          </w:p>
        </w:tc>
        <w:tc>
          <w:p>
            <w:pPr>
              <w:pStyle w:val="Compact"/>
              <w:jc w:val="left"/>
            </w:pPr>
            <w:r>
              <w:t xml:space="preserve">0.096</w:t>
            </w:r>
          </w:p>
        </w:tc>
      </w:tr>
      <w:tr>
        <w:tc>
          <w:p>
            <w:pPr>
              <w:pStyle w:val="Compact"/>
              <w:jc w:val="left"/>
            </w:pPr>
            <w:r>
              <w:t xml:space="preserve">C2 name B</w:t>
            </w:r>
          </w:p>
        </w:tc>
        <w:tc>
          <w:p>
            <w:pPr>
              <w:pStyle w:val="Compact"/>
              <w:jc w:val="left"/>
            </w:pPr>
            <w:r>
              <w:t xml:space="preserve">$159,605</w:t>
            </w:r>
          </w:p>
        </w:tc>
        <w:tc>
          <w:p>
            <w:pPr>
              <w:pStyle w:val="Compact"/>
              <w:jc w:val="left"/>
            </w:pPr>
            <w:r>
              <w:t xml:space="preserve">$3,106</w:t>
            </w:r>
          </w:p>
        </w:tc>
        <w:tc>
          <w:p>
            <w:pPr>
              <w:pStyle w:val="Compact"/>
              <w:jc w:val="left"/>
            </w:pPr>
            <w:r>
              <w:t xml:space="preserve">27.2</w:t>
            </w:r>
          </w:p>
        </w:tc>
        <w:tc>
          <w:p>
            <w:pPr>
              <w:pStyle w:val="Compact"/>
              <w:jc w:val="left"/>
            </w:pPr>
            <w:r>
              <w:t xml:space="preserve">0.837</w:t>
            </w:r>
          </w:p>
        </w:tc>
        <w:tc>
          <w:p>
            <w:pPr>
              <w:pStyle w:val="Compact"/>
              <w:jc w:val="left"/>
            </w:pPr>
            <w:r>
              <w:t xml:space="preserve">0.384</w:t>
            </w:r>
          </w:p>
        </w:tc>
        <w:tc>
          <w:p>
            <w:pPr>
              <w:pStyle w:val="Compact"/>
              <w:jc w:val="left"/>
            </w:pPr>
            <w:r>
              <w:t xml:space="preserve">0.047</w:t>
            </w:r>
          </w:p>
        </w:tc>
        <w:tc>
          <w:p>
            <w:pPr>
              <w:pStyle w:val="Compact"/>
              <w:jc w:val="left"/>
            </w:pPr>
            <w:r>
              <w:t xml:space="preserve">0.096</w:t>
            </w:r>
          </w:p>
        </w:tc>
      </w:tr>
      <w:tr>
        <w:tc>
          <w:p>
            <w:pPr>
              <w:pStyle w:val="Compact"/>
              <w:jc w:val="left"/>
            </w:pPr>
            <w:r>
              <w:t xml:space="preserve">C3 voucher</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0.383</w:t>
            </w:r>
          </w:p>
        </w:tc>
        <w:tc>
          <w:p>
            <w:pPr>
              <w:pStyle w:val="Compact"/>
              <w:jc w:val="left"/>
            </w:pPr>
            <w:r>
              <w:t xml:space="preserve">0.042</w:t>
            </w:r>
          </w:p>
        </w:tc>
        <w:tc>
          <w:p>
            <w:pPr>
              <w:pStyle w:val="Compact"/>
              <w:jc w:val="left"/>
            </w:pPr>
            <w:r>
              <w:t xml:space="preserve">0.096</w:t>
            </w:r>
          </w:p>
        </w:tc>
      </w:tr>
    </w:tbl>
    <w:p>
      <w:pPr>
        <w:pStyle w:val="BodyText"/>
      </w:pPr>
      <w:r>
        <w:t xml:space="preserve">The columns are nearly constant. Rent burden and renter share are identical to three decimals across all four conditions, and Hispanic share is identical to three decimals.</w:t>
      </w:r>
    </w:p>
    <w:p>
      <w:pPr>
        <w:pStyle w:val="BodyText"/>
      </w:pPr>
      <w:r>
        <w:rPr>
          <w:bCs/>
          <w:b/>
        </w:rPr>
        <w:t xml:space="preserve">Table 23. Within-scenario identity contrasts on tract characteristics.</w:t>
      </w:r>
      <w:r>
        <w:t xml:space="preserve"> </w:t>
      </w:r>
      <w:r>
        <w:t xml:space="preserve">105 contrasts: 3 identity conditions × 7 outcomes × 5 model-architecture arms. Inference by 10,000 within-scenario sign-flip permutations, Benjamini–Hochberg across the family.</w:t>
      </w:r>
    </w:p>
    <w:tbl>
      <w:tblPr>
        <w:tblStyle w:val="Table"/>
        <w:tblW w:type="pct" w:w="5000.0"/>
        <w:tblLook w:firstRow="0" w:lastRow="0" w:firstColumn="0" w:lastColumn="0" w:noHBand="0" w:noVBand="0" w:val="0000"/>
      </w:tblPr>
      <w:tblGrid>
        <w:gridCol w:w="3960"/>
        <w:gridCol w:w="3960"/>
      </w:tblGrid>
      <w:tr>
        <w:tc>
          <w:p>
            <w:pPr>
              <w:pStyle w:val="Compact"/>
              <w:jc w:val="left"/>
            </w:pPr>
            <w:r>
              <w:t xml:space="preserve">Contrasts tested</w:t>
            </w:r>
          </w:p>
        </w:tc>
        <w:tc>
          <w:p>
            <w:pPr>
              <w:pStyle w:val="Compact"/>
              <w:jc w:val="left"/>
            </w:pPr>
            <w:r>
              <w:t xml:space="preserve">105</w:t>
            </w:r>
          </w:p>
        </w:tc>
      </w:tr>
      <w:tr>
        <w:tc>
          <w:p>
            <w:pPr>
              <w:pStyle w:val="Compact"/>
              <w:jc w:val="left"/>
            </w:pPr>
            <w:r>
              <w:t xml:space="preserve">Significant after BH at 0.05</w:t>
            </w:r>
          </w:p>
        </w:tc>
        <w:tc>
          <w:p>
            <w:pPr>
              <w:pStyle w:val="Compact"/>
              <w:jc w:val="left"/>
            </w:pPr>
            <w:r>
              <w:rPr>
                <w:bCs/>
                <w:b/>
              </w:rPr>
              <w:t xml:space="preserve">0</w:t>
            </w:r>
          </w:p>
        </w:tc>
      </w:tr>
      <w:tr>
        <w:tc>
          <w:p>
            <w:pPr>
              <w:pStyle w:val="Compact"/>
              <w:jc w:val="left"/>
            </w:pPr>
            <w:r>
              <w:t xml:space="preserve">Smallest raw</w:t>
            </w:r>
            <w:r>
              <w:t xml:space="preserve"> </w:t>
            </w:r>
            <w:r>
              <w:rPr>
                <w:iCs/>
                <w:i/>
              </w:rPr>
              <w:t xml:space="preserve">p</w:t>
            </w:r>
          </w:p>
        </w:tc>
        <w:tc>
          <w:p>
            <w:pPr>
              <w:pStyle w:val="Compact"/>
              <w:jc w:val="left"/>
            </w:pPr>
            <w:r>
              <w:t xml:space="preserve">0.0015 (</w:t>
            </w:r>
            <w:r>
              <w:rPr>
                <w:rStyle w:val="VerbatimChar"/>
              </w:rPr>
              <w:t xml:space="preserve">claude-opus-5</w:t>
            </w:r>
            <w:r>
              <w:t xml:space="preserve">, C3 voucher, share non-White, +2.15 pp)</w:t>
            </w:r>
          </w:p>
        </w:tc>
      </w:tr>
      <w:tr>
        <w:tc>
          <w:p>
            <w:pPr>
              <w:pStyle w:val="Compact"/>
              <w:jc w:val="left"/>
            </w:pPr>
            <w:r>
              <w:t xml:space="preserve">Corresponding BH-adjusted</w:t>
            </w:r>
            <w:r>
              <w:t xml:space="preserve"> </w:t>
            </w:r>
            <w:r>
              <w:rPr>
                <w:iCs/>
                <w:i/>
              </w:rPr>
              <w:t xml:space="preserve">p</w:t>
            </w:r>
          </w:p>
        </w:tc>
        <w:tc>
          <w:p>
            <w:pPr>
              <w:pStyle w:val="Compact"/>
              <w:jc w:val="left"/>
            </w:pPr>
            <w:r>
              <w:t xml:space="preserve">0.158</w:t>
            </w:r>
          </w:p>
        </w:tc>
      </w:tr>
    </w:tbl>
    <w:p>
      <w:pPr>
        <w:pStyle w:val="BodyText"/>
      </w:pPr>
      <w:r>
        <w:rPr>
          <w:bCs/>
          <w:b/>
        </w:rPr>
        <w:t xml:space="preserve">Table 24. Variance decomposition for S3</w:t>
      </w:r>
      <w:r>
        <w:t xml:space="preserve"> </w:t>
      </w:r>
      <w:r>
        <w:t xml:space="preserve">(</w:t>
      </w:r>
      <w:r>
        <w:rPr>
          <w:rStyle w:val="VerbatimChar"/>
        </w:rPr>
        <w:t xml:space="preserve">gpt-5.6-luna</w:t>
      </w:r>
      <w:r>
        <w:t xml:space="preserve">, S1). The pre-specified rule of §7.4 is that where within-cell replicate variance exceeds between-condition variance, we report no effect regardless of any individual</w:t>
      </w:r>
      <w:r>
        <w:t xml:space="preserve"> </w:t>
      </w:r>
      <w:r>
        <w:rPr>
          <w:iCs/>
          <w:i/>
        </w:rPr>
        <w:t xml:space="preserve">p</w:t>
      </w:r>
      <w:r>
        <w:t xml:space="preserve">-value.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Ratio</w:t>
            </w:r>
          </w:p>
        </w:tc>
      </w:tr>
      <w:tr>
        <w:tc>
          <w:p>
            <w:pPr>
              <w:pStyle w:val="Compact"/>
              <w:jc w:val="left"/>
            </w:pPr>
            <w:r>
              <w:t xml:space="preserve">Tract median HH income</w:t>
            </w:r>
          </w:p>
        </w:tc>
        <w:tc>
          <w:p>
            <w:pPr>
              <w:pStyle w:val="Compact"/>
              <w:jc w:val="left"/>
            </w:pPr>
            <w:r>
              <w:t xml:space="preserve">1.22 × 10⁸</w:t>
            </w:r>
          </w:p>
        </w:tc>
        <w:tc>
          <w:p>
            <w:pPr>
              <w:pStyle w:val="Compact"/>
              <w:jc w:val="left"/>
            </w:pPr>
            <w:r>
              <w:t xml:space="preserve">2.83 × 10⁸</w:t>
            </w:r>
          </w:p>
        </w:tc>
        <w:tc>
          <w:p>
            <w:pPr>
              <w:pStyle w:val="Compact"/>
              <w:jc w:val="left"/>
            </w:pPr>
            <w:r>
              <w:t xml:space="preserve">0.43</w:t>
            </w:r>
          </w:p>
        </w:tc>
      </w:tr>
      <w:tr>
        <w:tc>
          <w:p>
            <w:pPr>
              <w:pStyle w:val="Compact"/>
              <w:jc w:val="left"/>
            </w:pPr>
            <w:r>
              <w:t xml:space="preserve">Tract median gross rent</w:t>
            </w:r>
          </w:p>
        </w:tc>
        <w:tc>
          <w:p>
            <w:pPr>
              <w:pStyle w:val="Compact"/>
              <w:jc w:val="left"/>
            </w:pPr>
            <w:r>
              <w:t xml:space="preserve">2.92 × 10⁴</w:t>
            </w:r>
          </w:p>
        </w:tc>
        <w:tc>
          <w:p>
            <w:pPr>
              <w:pStyle w:val="Compact"/>
              <w:jc w:val="left"/>
            </w:pPr>
            <w:r>
              <w:t xml:space="preserve">7.23 × 10⁴</w:t>
            </w:r>
          </w:p>
        </w:tc>
        <w:tc>
          <w:p>
            <w:pPr>
              <w:pStyle w:val="Compact"/>
              <w:jc w:val="left"/>
            </w:pPr>
            <w:r>
              <w:t xml:space="preserve">0.40</w:t>
            </w:r>
          </w:p>
        </w:tc>
      </w:tr>
      <w:tr>
        <w:tc>
          <w:p>
            <w:pPr>
              <w:pStyle w:val="Compact"/>
              <w:jc w:val="left"/>
            </w:pPr>
            <w:r>
              <w:t xml:space="preserve">Rent burden</w:t>
            </w:r>
          </w:p>
        </w:tc>
        <w:tc>
          <w:p>
            <w:pPr>
              <w:pStyle w:val="Compact"/>
              <w:jc w:val="left"/>
            </w:pPr>
            <w:r>
              <w:t xml:space="preserve">0.357</w:t>
            </w:r>
          </w:p>
        </w:tc>
        <w:tc>
          <w:p>
            <w:pPr>
              <w:pStyle w:val="Compact"/>
              <w:jc w:val="left"/>
            </w:pPr>
            <w:r>
              <w:t xml:space="preserve">0.901</w:t>
            </w:r>
          </w:p>
        </w:tc>
        <w:tc>
          <w:p>
            <w:pPr>
              <w:pStyle w:val="Compact"/>
              <w:jc w:val="left"/>
            </w:pPr>
            <w:r>
              <w:t xml:space="preserve">0.40</w:t>
            </w:r>
          </w:p>
        </w:tc>
      </w:tr>
      <w:tr>
        <w:tc>
          <w:p>
            <w:pPr>
              <w:pStyle w:val="Compact"/>
              <w:jc w:val="left"/>
            </w:pPr>
            <w:r>
              <w:t xml:space="preserve">Renter share</w:t>
            </w:r>
          </w:p>
        </w:tc>
        <w:tc>
          <w:p>
            <w:pPr>
              <w:pStyle w:val="Compact"/>
              <w:jc w:val="left"/>
            </w:pPr>
            <w:r>
              <w:t xml:space="preserve">6.07 × 10⁻⁴</w:t>
            </w:r>
          </w:p>
        </w:tc>
        <w:tc>
          <w:p>
            <w:pPr>
              <w:pStyle w:val="Compact"/>
              <w:jc w:val="left"/>
            </w:pPr>
            <w:r>
              <w:t xml:space="preserve">2.01 × 10⁻³</w:t>
            </w:r>
          </w:p>
        </w:tc>
        <w:tc>
          <w:p>
            <w:pPr>
              <w:pStyle w:val="Compact"/>
              <w:jc w:val="left"/>
            </w:pPr>
            <w:r>
              <w:t xml:space="preserve">0.30</w:t>
            </w:r>
          </w:p>
        </w:tc>
      </w:tr>
      <w:tr>
        <w:tc>
          <w:p>
            <w:pPr>
              <w:pStyle w:val="Compact"/>
              <w:jc w:val="left"/>
            </w:pPr>
            <w:r>
              <w:t xml:space="preserve">Share non-White</w:t>
            </w:r>
          </w:p>
        </w:tc>
        <w:tc>
          <w:p>
            <w:pPr>
              <w:pStyle w:val="Compact"/>
              <w:jc w:val="left"/>
            </w:pPr>
            <w:r>
              <w:t xml:space="preserve">1.68 × 10⁻³</w:t>
            </w:r>
          </w:p>
        </w:tc>
        <w:tc>
          <w:p>
            <w:pPr>
              <w:pStyle w:val="Compact"/>
              <w:jc w:val="left"/>
            </w:pPr>
            <w:r>
              <w:t xml:space="preserve">4.13 × 10⁻³</w:t>
            </w:r>
          </w:p>
        </w:tc>
        <w:tc>
          <w:p>
            <w:pPr>
              <w:pStyle w:val="Compact"/>
              <w:jc w:val="left"/>
            </w:pPr>
            <w:r>
              <w:t xml:space="preserve">0.41</w:t>
            </w:r>
          </w:p>
        </w:tc>
      </w:tr>
      <w:tr>
        <w:tc>
          <w:p>
            <w:pPr>
              <w:pStyle w:val="Compact"/>
              <w:jc w:val="left"/>
            </w:pPr>
            <w:r>
              <w:t xml:space="preserve">Share Black</w:t>
            </w:r>
          </w:p>
        </w:tc>
        <w:tc>
          <w:p>
            <w:pPr>
              <w:pStyle w:val="Compact"/>
              <w:jc w:val="left"/>
            </w:pPr>
            <w:r>
              <w:t xml:space="preserve">5.59 × 10⁻⁴</w:t>
            </w:r>
          </w:p>
        </w:tc>
        <w:tc>
          <w:p>
            <w:pPr>
              <w:pStyle w:val="Compact"/>
              <w:jc w:val="left"/>
            </w:pPr>
            <w:r>
              <w:t xml:space="preserve">1.55 × 10⁻³</w:t>
            </w:r>
          </w:p>
        </w:tc>
        <w:tc>
          <w:p>
            <w:pPr>
              <w:pStyle w:val="Compact"/>
              <w:jc w:val="left"/>
            </w:pPr>
            <w:r>
              <w:t xml:space="preserve">0.36</w:t>
            </w:r>
          </w:p>
        </w:tc>
      </w:tr>
      <w:tr>
        <w:tc>
          <w:p>
            <w:pPr>
              <w:pStyle w:val="Compact"/>
              <w:jc w:val="left"/>
            </w:pPr>
            <w:r>
              <w:t xml:space="preserve">Share Hispanic</w:t>
            </w:r>
          </w:p>
        </w:tc>
        <w:tc>
          <w:p>
            <w:pPr>
              <w:pStyle w:val="Compact"/>
              <w:jc w:val="left"/>
            </w:pPr>
            <w:r>
              <w:t xml:space="preserve">5.37 × 10⁻⁴</w:t>
            </w:r>
          </w:p>
        </w:tc>
        <w:tc>
          <w:p>
            <w:pPr>
              <w:pStyle w:val="Compact"/>
              <w:jc w:val="left"/>
            </w:pPr>
            <w:r>
              <w:t xml:space="preserve">8.22 × 10⁻⁴</w:t>
            </w:r>
          </w:p>
        </w:tc>
        <w:tc>
          <w:p>
            <w:pPr>
              <w:pStyle w:val="Compact"/>
              <w:jc w:val="left"/>
            </w:pPr>
            <w:r>
              <w:t xml:space="preserve">0.65</w:t>
            </w:r>
          </w:p>
        </w:tc>
      </w:tr>
    </w:tbl>
    <w:p>
      <w:pPr>
        <w:pStyle w:val="BodyText"/>
      </w:pPr>
      <w:r>
        <w:t xml:space="preserve">Replicate noise dominates for</w:t>
      </w:r>
      <w:r>
        <w:t xml:space="preserve"> </w:t>
      </w:r>
      <w:r>
        <w:rPr>
          <w:bCs/>
          <w:b/>
        </w:rPr>
        <w:t xml:space="preserve">all seven</w:t>
      </w:r>
      <w:r>
        <w:t xml:space="preserve"> </w:t>
      </w:r>
      <w:r>
        <w:t xml:space="preserve">outcomes. Under our pre-specified rule we therefore report</w:t>
      </w:r>
      <w:r>
        <w:t xml:space="preserve"> </w:t>
      </w:r>
      <w:r>
        <w:rPr>
          <w:bCs/>
          <w:b/>
        </w:rPr>
        <w:t xml:space="preserve">no identity-conditioned effect on neighborhood exposure</w:t>
      </w:r>
      <w:r>
        <w:t xml:space="preserve">, and the BH nulls agree.</w:t>
      </w:r>
    </w:p>
    <w:p>
      <w:pPr>
        <w:pStyle w:val="BodyText"/>
      </w:pPr>
      <w:r>
        <w:rPr>
          <w:bCs/>
          <w:b/>
        </w:rPr>
        <w:t xml:space="preserve">One direction is worth recording without claiming it.</w:t>
      </w:r>
      <w:r>
        <w:t xml:space="preserve"> </w:t>
      </w:r>
      <w:r>
        <w:t xml:space="preserve">The three smallest raw</w:t>
      </w:r>
      <w:r>
        <w:t xml:space="preserve"> </w:t>
      </w:r>
      <w:r>
        <w:rPr>
          <w:iCs/>
          <w:i/>
        </w:rPr>
        <w:t xml:space="preserve">p</w:t>
      </w:r>
      <w:r>
        <w:t xml:space="preserve">-values all involve the voucher condition, and on</w:t>
      </w:r>
      <w:r>
        <w:t xml:space="preserve"> </w:t>
      </w:r>
      <w:r>
        <w:rPr>
          <w:rStyle w:val="VerbatimChar"/>
        </w:rPr>
        <w:t xml:space="preserve">claude-opus-5</w:t>
      </w:r>
      <w:r>
        <w:t xml:space="preserve"> </w:t>
      </w:r>
      <w:r>
        <w:t xml:space="preserve">voucher disclosure is associated with recommendations in tracts that are 2.15 percentage points more non-White and $5,937 lower in median household income. This is the direction the steering literature would predict, and it is coherent with the one non-null in §8.4 — voucher disclosure lowering Claude’s rent gap by $27.60 — since cheaper listings in our sample sit in lower-income tracts. But it does not survive correction for 105 tests, it falls below replicate noise under §7.4, and the magnitudes are small against a between-tract standard deviation of $42,443 in median income. We report it as an observation warranting targeted replication with the voucher contrast as the single pre-specified hypothesis, which is the design that could actually test it. We do not report it as a finding.</w:t>
      </w:r>
    </w:p>
    <w:p>
      <w:pPr>
        <w:pStyle w:val="BodyText"/>
      </w:pPr>
      <w:r>
        <w:rPr>
          <w:bCs/>
          <w:b/>
        </w:rPr>
        <w:t xml:space="preserve">What this null does and does not license.</w:t>
      </w:r>
      <w:r>
        <w:t xml:space="preserve"> </w:t>
      </w:r>
      <w:r>
        <w:t xml:space="preserve">It licenses a narrow claim: when the candidate set is fixed and the model can only re-rank it, an identity cue does not measurably shift the neighborhood composition of what is returned. It does</w:t>
      </w:r>
      <w:r>
        <w:t xml:space="preserve"> </w:t>
      </w:r>
      <w:r>
        <w:rPr>
          <w:bCs/>
          <w:b/>
        </w:rPr>
        <w:t xml:space="preserve">not</w:t>
      </w:r>
      <w:r>
        <w:t xml:space="preserve"> </w:t>
      </w:r>
      <w:r>
        <w:t xml:space="preserve">license the claim that these models do not steer. Our design removes retrieval by construction — the model never chooses where to look, which is precisely the choice Liu et al. (2024) and Samad et al. (2026) found to be identity-conditioned. Their finding and ours are compatible: steering may operate at the retrieval and geographic-framing stage that we hold fixed, and be absent at the ranking stage that we isolate. Establishing that would require an open-ended arm in which the model proposes neighborhoods before any pool exists, which we did not run (§9.4).</w:t>
      </w:r>
    </w:p>
    <w:p>
      <w:pPr>
        <w:pStyle w:val="BodyText"/>
      </w:pPr>
      <w:r>
        <w:t xml:space="preserve">A further limit is the sample itself. The recommended tracts have a median household income near $158,000 and a non-White share of 0.378, against tract medians across New York of $81,982 and 0.76 (§5.3). Our pool is drawn from an unrepresentative slice of the city (Table 2b), so the</w:t>
      </w:r>
      <w:r>
        <w:t xml:space="preserve"> </w:t>
      </w:r>
      <w:r>
        <w:rPr>
          <w:iCs/>
          <w:i/>
        </w:rPr>
        <w:t xml:space="preserve">range</w:t>
      </w:r>
      <w:r>
        <w:t xml:space="preserve"> </w:t>
      </w:r>
      <w:r>
        <w:t xml:space="preserve">of neighborhood variation available to be steered across is compressed relative to the true market. A null on compressed variation is weaker evidence than a null on full variation, and we do not treat the two as equivalent.</w:t>
      </w:r>
    </w:p>
    <w:bookmarkEnd w:id="67"/>
    <w:bookmarkEnd w:id="68"/>
    <w:bookmarkStart w:id="74" w:name="discussion-and-recommendations"/>
    <w:p>
      <w:pPr>
        <w:pStyle w:val="Heading2"/>
      </w:pPr>
      <w:r>
        <w:t xml:space="preserve">9. Discussion and Recommendations</w:t>
      </w:r>
    </w:p>
    <w:bookmarkStart w:id="69"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69"/>
    <w:bookmarkStart w:id="70"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70"/>
    <w:bookmarkStart w:id="71" w:name="recommendations-for-developers"/>
    <w:p>
      <w:pPr>
        <w:pStyle w:val="Heading3"/>
      </w:pPr>
      <w:r>
        <w:t xml:space="preserve">9.3 Recommendations for developers</w:t>
      </w:r>
    </w:p>
    <w:p>
      <w:pPr>
        <w:numPr>
          <w:ilvl w:val="0"/>
          <w:numId w:val="1011"/>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1"/>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1"/>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1"/>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1"/>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1"/>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1"/>
    <w:bookmarkStart w:id="72"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2"/>
    <w:bookmarkStart w:id="73"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3"/>
    <w:bookmarkEnd w:id="74"/>
    <w:bookmarkStart w:id="75"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 and now a measured magnitude.</w:t>
      </w:r>
      <w:r>
        <w:t xml:space="preserve"> </w:t>
      </w:r>
      <w:r>
        <w:t xml:space="preserve">RentCast’s New York coverage derives from MLS syndication, which under-represents the no-fee and small-landlord segment that constitutes a substantial share of the city’s rental market. Table 2a quantifies the walk-access exclusion; Table 2b benchmarks the rent distribution against NYCHVS 2023. The median listing in our sample rents for</w:t>
      </w:r>
      <w:r>
        <w:t xml:space="preserve"> </w:t>
      </w:r>
      <w:r>
        <w:rPr>
          <w:bCs/>
          <w:b/>
        </w:rPr>
        <w:t xml:space="preserve">1.76× the median recent unsubsidised letting</w:t>
      </w:r>
      <w:r>
        <w:t xml:space="preserve"> </w:t>
      </w:r>
      <w:r>
        <w:t xml:space="preserve">and sits at roughly the</w:t>
      </w:r>
      <w:r>
        <w:t xml:space="preserve"> </w:t>
      </w:r>
      <w:r>
        <w:rPr>
          <w:bCs/>
          <w:b/>
        </w:rPr>
        <w:t xml:space="preserve">87th percentile</w:t>
      </w:r>
      <w:r>
        <w:t xml:space="preserve"> </w:t>
      </w:r>
      <w:r>
        <w:t xml:space="preserve">of that distribution — the sample is drawn from about the upper eighth of the market by price. Against</w:t>
      </w:r>
      <w:r>
        <w:t xml:space="preserve"> </w:t>
      </w:r>
      <w:r>
        <w:rPr>
          <w:iCs/>
          <w:i/>
        </w:rPr>
        <w:t xml:space="preserve">all</w:t>
      </w:r>
      <w:r>
        <w:t xml:space="preserve"> </w:t>
      </w:r>
      <w:r>
        <w:t xml:space="preserve">renter households the ratio is 2.48×, but that comparison conflates our flow of asking rents with a stock containing long-duration rent-stabilised and subsidised tenancies, and we do not rely on it.</w:t>
      </w:r>
    </w:p>
    <w:p>
      <w:pPr>
        <w:pStyle w:val="BodyText"/>
      </w:pPr>
      <w:r>
        <w:t xml:space="preserve">Because the bias is common to all conditions and architectures, it threatens external validity — the absolute magnitude of the cost gaps — but not the internal validity of the within-scenario contrasts, which hold the pool fixed. The specific unresolved question is whether the gap is proportional to rent level or roughly constant in dollars. Our design does not identify this, and it determines whether the $900/month median dominance gap transfers to a median renter or shrinks with the rent level. Extending the sample into the lower deciles is the highest-value addition to the data collection.</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C1/C2 is a joint race-and-class cue, not a clean race cue.</w:t>
      </w:r>
      <w:r>
        <w:t xml:space="preserve"> </w:t>
      </w:r>
      <w:r>
        <w:t xml:space="preserve">A name signals race and social class simultaneously (Gaddis, 2017; Crabtree et al., 2022). Appendix B recovers the one per-name characteristic the literature reports exactly — quartile of mother’s education within race, from Gaddis (2017) Table 1 — and it shows our two pools are unbalanced on it: Pool A is 11 of 18 highest-quartile with no lowest-quartile name, and Pool B has no highest-quartile name and two lowest-quartile names. Per-name</w:t>
      </w:r>
      <w:r>
        <w:t xml:space="preserve"> </w:t>
      </w:r>
      <w:r>
        <w:rPr>
          <w:iCs/>
          <w:i/>
        </w:rPr>
        <w:t xml:space="preserve">perceived</w:t>
      </w:r>
      <w:r>
        <w:t xml:space="preserve"> </w:t>
      </w:r>
      <w:r>
        <w:t xml:space="preserve">race and</w:t>
      </w:r>
      <w:r>
        <w:t xml:space="preserve"> </w:t>
      </w:r>
      <w:r>
        <w:rPr>
          <w:iCs/>
          <w:i/>
        </w:rPr>
        <w:t xml:space="preserve">perceived</w:t>
      </w:r>
      <w:r>
        <w:t xml:space="preserve"> </w:t>
      </w:r>
      <w:r>
        <w:t xml:space="preserve">class exist in the literature only as figures, so we do not tabulate them rather than read values off a chart.</w:t>
      </w:r>
    </w:p>
    <w:p>
      <w:pPr>
        <w:pStyle w:val="BodyText"/>
      </w:pPr>
      <w:r>
        <w:t xml:space="preserve">The confound is single-directional, which is why the results survive it: Pool A signals both higher-status race and higher-status class, so any mechanism acting on either attribute pushes the contrast the same way and the design is biased</w:t>
      </w:r>
      <w:r>
        <w:t xml:space="preserve"> </w:t>
      </w:r>
      <w:r>
        <w:rPr>
          <w:bCs/>
          <w:b/>
        </w:rPr>
        <w:t xml:space="preserve">toward</w:t>
      </w:r>
      <w:r>
        <w:t xml:space="preserve"> </w:t>
      </w:r>
      <w:r>
        <w:t xml:space="preserve">detecting a difference. None is detected (§8.4, §8.11). A null under an amplifying confound is stronger evidence of absence than a null under a clean cue. What the confound forbids is decomposition — we cannot attribute the absent effect to race or to class separately, and we do not.</w:t>
      </w:r>
    </w:p>
    <w:p>
      <w:pPr>
        <w:pStyle w:val="BodyText"/>
      </w:pPr>
      <w:r>
        <w:t xml:space="preserve">Appendix B also documents that the four names excluded before the main grid were attributed to Gaddis without basis for two of them, and that two lowest-quartile names were retained that the stated rule would have dropped. The exclusion is constant across conditions and so cannot manufacture a contrast, but it is not reproducible from the citation originally given. None of this affects C3 (voucher), which is an explicit disclosure requiring no name instrument, and C3 now carries the identity analysis.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t xml:space="preserve">This limit now applies to a second, larger family of nulls. §8.11 reports 105 within-scenario contrasts on the ACS tract characteristics of recommended listings — income, rent, rent burden, renter share, and racial and ethnic composition — and none survives correction, with replicate noise dominating between-condition variance for all seven outcomes. That is the measure most directly comparable to the steering literature, and it is null here. It remains a null about</w:t>
      </w:r>
      <w:r>
        <w:t xml:space="preserve"> </w:t>
      </w:r>
      <w:r>
        <w:rPr>
          <w:iCs/>
          <w:i/>
        </w:rPr>
        <w:t xml:space="preserve">re-ranking a fixed set</w:t>
      </w:r>
      <w:r>
        <w:t xml:space="preserve">, not about steering, and it is measured over a compressed range of neighborhood variation because the sample is drawn from an unrepresentative slice of the city (Table 2b).</w:t>
      </w:r>
      <w:r>
        <w:t xml:space="preserve"> </w:t>
      </w: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5"/>
    <w:bookmarkStart w:id="76"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6"/>
    <w:bookmarkStart w:id="77"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Crabtree, C., Gaddis, S. M., Holbein, J. B., &amp; Nergård Larsen, E. (2022). Racially distinctive names signal both race/ethnicity and social class.</w:t>
      </w:r>
      <w:r>
        <w:t xml:space="preserve"> </w:t>
      </w:r>
      <w:r>
        <w:rPr>
          <w:iCs/>
          <w:i/>
        </w:rPr>
        <w:t xml:space="preserve">Sociological Science</w:t>
      </w:r>
      <w:r>
        <w:t xml:space="preserve">, 9, 454–472. https://doi.org/10.15195/v9.a18</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7"/>
    <w:bookmarkStart w:id="78"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8"/>
    <w:bookmarkStart w:id="79" w:name="X67c74f379d2ce3bdb115e652d09eef87e03e74a"/>
    <w:p>
      <w:pPr>
        <w:pStyle w:val="Heading2"/>
      </w:pPr>
      <w:r>
        <w:t xml:space="preserve">Appendix B. Name pool and validation status</w:t>
      </w:r>
    </w:p>
    <w:p>
      <w:pPr>
        <w:pStyle w:val="FirstParagraph"/>
      </w:pPr>
      <w:r>
        <w:rPr>
          <w:bCs/>
          <w:b/>
        </w:rPr>
        <w:t xml:space="preserve">Provenance.</w:t>
      </w:r>
      <w:r>
        <w:t xml:space="preserve"> </w:t>
      </w:r>
      <w:r>
        <w:t xml:space="preserve">The first-name lists are from Bertrand and Mullainathan (2004),</w:t>
      </w:r>
      <w:r>
        <w:t xml:space="preserve"> </w:t>
      </w:r>
      <w:r>
        <w:rPr>
          <w:iCs/>
          <w:i/>
        </w:rPr>
        <w:t xml:space="preserve">AER</w:t>
      </w:r>
      <w:r>
        <w:t xml:space="preserve"> </w:t>
      </w:r>
      <w:r>
        <w:t xml:space="preserve">94(4), Appendix Table A1 — the most widely replicated correspondence-audit name set. Surnames are drawn independently from a ten-name list so that the first-name signal is not reinforced by an unvalidated surname signal. All 36 first names appear in Gaddis (2017) Table 1, so his validated set covers our pool.</w:t>
      </w:r>
    </w:p>
    <w:p>
      <w:pPr>
        <w:pStyle w:val="BodyText"/>
      </w:pPr>
      <w:r>
        <w:rPr>
          <w:bCs/>
          <w:b/>
        </w:rPr>
        <w:t xml:space="preserve">What is available, and what is not.</w:t>
      </w:r>
      <w:r>
        <w:t xml:space="preserve"> </w:t>
      </w:r>
      <w:r>
        <w:t xml:space="preserve">The original specification for this appendix called for</w:t>
      </w:r>
      <w:r>
        <w:t xml:space="preserve"> </w:t>
      </w:r>
      <w:r>
        <w:t xml:space="preserve">“</w:t>
      </w:r>
      <w:r>
        <w:t xml:space="preserve">perceived-race and perceived-SES scores per name</w:t>
      </w:r>
      <w:r>
        <w:t xml:space="preserve">”</w:t>
      </w:r>
      <w:r>
        <w:t xml:space="preserve"> </w:t>
      </w:r>
      <w:r>
        <w:t xml:space="preserve">from Gaddis (2017). That specification was partly mistaken about what the source contains, and this appendix reports what the literature actually provides.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Quantity</w:t>
            </w:r>
          </w:p>
        </w:tc>
        <w:tc>
          <w:p>
            <w:pPr>
              <w:pStyle w:val="Compact"/>
              <w:jc w:val="left"/>
            </w:pPr>
            <w:r>
              <w:t xml:space="preserve">Source</w:t>
            </w:r>
          </w:p>
        </w:tc>
        <w:tc>
          <w:p>
            <w:pPr>
              <w:pStyle w:val="Compact"/>
              <w:jc w:val="left"/>
            </w:pPr>
            <w:r>
              <w:t xml:space="preserve">Form</w:t>
            </w:r>
          </w:p>
        </w:tc>
        <w:tc>
          <w:p>
            <w:pPr>
              <w:pStyle w:val="Compact"/>
              <w:jc w:val="left"/>
            </w:pPr>
            <w:r>
              <w:t xml:space="preserve">Usable here</w:t>
            </w:r>
          </w:p>
        </w:tc>
      </w:tr>
      <w:tr>
        <w:tc>
          <w:p>
            <w:pPr>
              <w:pStyle w:val="Compact"/>
              <w:jc w:val="left"/>
            </w:pPr>
            <w:r>
              <w:t xml:space="preserve">Objective SES correlate: quartile of mother’s education within race</w:t>
            </w:r>
          </w:p>
        </w:tc>
        <w:tc>
          <w:p>
            <w:pPr>
              <w:pStyle w:val="Compact"/>
              <w:jc w:val="left"/>
            </w:pPr>
            <w:r>
              <w:t xml:space="preserve">Gaddis (2017) Table 1</w:t>
            </w:r>
          </w:p>
        </w:tc>
        <w:tc>
          <w:p>
            <w:pPr>
              <w:pStyle w:val="Compact"/>
              <w:jc w:val="left"/>
            </w:pPr>
            <w:r>
              <w:t xml:space="preserve">Encoded typographically (bold = lowest quartile, italic = highest)</w:t>
            </w:r>
          </w:p>
        </w:tc>
        <w:tc>
          <w:p>
            <w:pPr>
              <w:pStyle w:val="Compact"/>
              <w:jc w:val="left"/>
            </w:pPr>
            <w:r>
              <w:rPr>
                <w:bCs/>
                <w:b/>
              </w:rPr>
              <w:t xml:space="preserve">Yes</w:t>
            </w:r>
            <w:r>
              <w:t xml:space="preserve"> </w:t>
            </w:r>
            <w:r>
              <w:t xml:space="preserve">— reported below</w:t>
            </w:r>
          </w:p>
        </w:tc>
      </w:tr>
      <w:tr>
        <w:tc>
          <w:p>
            <w:pPr>
              <w:pStyle w:val="Compact"/>
              <w:jc w:val="left"/>
            </w:pPr>
            <w:r>
              <w:t xml:space="preserve">Perceived race, per name</w:t>
            </w:r>
          </w:p>
        </w:tc>
        <w:tc>
          <w:p>
            <w:pPr>
              <w:pStyle w:val="Compact"/>
              <w:jc w:val="left"/>
            </w:pPr>
            <w:r>
              <w:t xml:space="preserve">Gaddis (2017) Figures 1–2</w:t>
            </w:r>
          </w:p>
        </w:tc>
        <w:tc>
          <w:p>
            <w:pPr>
              <w:pStyle w:val="Compact"/>
              <w:jc w:val="left"/>
            </w:pPr>
            <w:r>
              <w:t xml:space="preserve">Raster bar charts; no tabular values, no appendix table</w:t>
            </w:r>
          </w:p>
        </w:tc>
        <w:tc>
          <w:p>
            <w:pPr>
              <w:pStyle w:val="Compact"/>
              <w:jc w:val="left"/>
            </w:pPr>
            <w:r>
              <w:t xml:space="preserve">Rank order and coarse bands only; not to the precision a table implies</w:t>
            </w:r>
          </w:p>
        </w:tc>
      </w:tr>
      <w:tr>
        <w:tc>
          <w:p>
            <w:pPr>
              <w:pStyle w:val="Compact"/>
              <w:jc w:val="left"/>
            </w:pPr>
            <w:r>
              <w:t xml:space="preserve">Perceived</w:t>
            </w:r>
            <w:r>
              <w:t xml:space="preserve"> </w:t>
            </w:r>
            <w:r>
              <w:rPr>
                <w:bCs/>
                <w:b/>
              </w:rPr>
              <w:t xml:space="preserve">social class</w:t>
            </w:r>
            <w:r>
              <w:t xml:space="preserve">, per name</w:t>
            </w:r>
          </w:p>
        </w:tc>
        <w:tc>
          <w:p>
            <w:pPr>
              <w:pStyle w:val="Compact"/>
              <w:jc w:val="left"/>
            </w:pPr>
            <w:r>
              <w:t xml:space="preserve">Crabtree, Gaddis, Holbein &amp; Larsen (2022),</w:t>
            </w:r>
            <w:r>
              <w:t xml:space="preserve"> </w:t>
            </w:r>
            <w:r>
              <w:rPr>
                <w:iCs/>
                <w:i/>
              </w:rPr>
              <w:t xml:space="preserve">Sociological Science</w:t>
            </w:r>
            <w:r>
              <w:t xml:space="preserve"> </w:t>
            </w:r>
            <w:r>
              <w:t xml:space="preserve">9:454–472</w:t>
            </w:r>
          </w:p>
        </w:tc>
        <w:tc>
          <w:p>
            <w:pPr>
              <w:pStyle w:val="Compact"/>
              <w:jc w:val="left"/>
            </w:pPr>
            <w:r>
              <w:t xml:space="preserve">Figure 4, raster</w:t>
            </w:r>
          </w:p>
        </w:tc>
        <w:tc>
          <w:p>
            <w:pPr>
              <w:pStyle w:val="Compact"/>
              <w:jc w:val="left"/>
            </w:pPr>
            <w:r>
              <w:t xml:space="preserve">Not tabulated</w:t>
            </w:r>
          </w:p>
        </w:tc>
      </w:tr>
    </w:tbl>
    <w:p>
      <w:pPr>
        <w:pStyle w:val="BodyText"/>
      </w:pPr>
      <w:r>
        <w:t xml:space="preserve">Gaddis (2017) measures perceived</w:t>
      </w:r>
      <w:r>
        <w:t xml:space="preserve"> </w:t>
      </w:r>
      <w:r>
        <w:rPr>
          <w:bCs/>
          <w:b/>
        </w:rPr>
        <w:t xml:space="preserve">race</w:t>
      </w:r>
      <w:r>
        <w:t xml:space="preserve">; it does not report a perceived-SES score for individual names. The paper on class perceptions from names is Crabtree et al. (2022). Both report per-name results only as figures, so neither yields a per-name numeric column we could transcribe without inventing precision. We therefore report the one per-name characteristic that</w:t>
      </w:r>
      <w:r>
        <w:t xml:space="preserve"> </w:t>
      </w:r>
      <w:r>
        <w:rPr>
          <w:iCs/>
          <w:i/>
        </w:rPr>
        <w:t xml:space="preserve">is</w:t>
      </w:r>
      <w:r>
        <w:t xml:space="preserve"> </w:t>
      </w:r>
      <w:r>
        <w:t xml:space="preserve">recoverable exactly, and are explicit that the other two are not.</w:t>
      </w:r>
    </w:p>
    <w:p>
      <w:pPr>
        <w:pStyle w:val="BodyText"/>
      </w:pPr>
      <w:r>
        <w:rPr>
          <w:bCs/>
          <w:b/>
        </w:rPr>
        <w:t xml:space="preserve">Table B1. Names used, with Gaddis (2017) mother’s-education quartile.</w:t>
      </w:r>
      <w:r>
        <w:t xml:space="preserve"> </w:t>
      </w:r>
      <w:r>
        <w:t xml:space="preserve">Draw counts are the realized allocation across the 150 scenarios under</w:t>
      </w:r>
      <w:r>
        <w:t xml:space="preserve"> </w:t>
      </w:r>
      <w:r>
        <w:rPr>
          <w:rStyle w:val="VerbatimChar"/>
        </w:rPr>
        <w:t xml:space="preserve">SEED = 20260823</w:t>
      </w:r>
      <w:r>
        <w:t xml:space="preserve">; names rotate so that name identity is a random factor rather than two fixed exemplars.</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Pool A (B&amp;M white-sounding)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c>
          <w:p/>
        </w:tc>
        <w:tc>
          <w:p>
            <w:pPr>
              <w:pStyle w:val="Compact"/>
              <w:jc w:val="left"/>
            </w:pPr>
            <w:r>
              <w:t xml:space="preserve">Pool B (B&amp;M Black-sounding)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r>
      <w:tr>
        <w:tc>
          <w:p>
            <w:pPr>
              <w:pStyle w:val="Compact"/>
              <w:jc w:val="left"/>
            </w:pPr>
            <w:r>
              <w:t xml:space="preserve">Allison</w:t>
            </w:r>
          </w:p>
        </w:tc>
        <w:tc>
          <w:p>
            <w:pPr>
              <w:pStyle w:val="Compact"/>
              <w:jc w:val="left"/>
            </w:pPr>
            <w:r>
              <w:t xml:space="preserve">F</w:t>
            </w:r>
          </w:p>
        </w:tc>
        <w:tc>
          <w:p>
            <w:pPr>
              <w:pStyle w:val="Compact"/>
              <w:jc w:val="left"/>
            </w:pPr>
            <w:r>
              <w:t xml:space="preserve">highest</w:t>
            </w:r>
          </w:p>
        </w:tc>
        <w:tc>
          <w:p>
            <w:pPr>
              <w:pStyle w:val="Compact"/>
              <w:jc w:val="left"/>
            </w:pPr>
            <w:r>
              <w:t xml:space="preserve">6</w:t>
            </w:r>
          </w:p>
        </w:tc>
        <w:tc>
          <w:p/>
        </w:tc>
        <w:tc>
          <w:p>
            <w:pPr>
              <w:pStyle w:val="Compact"/>
              <w:jc w:val="left"/>
            </w:pPr>
            <w:r>
              <w:t xml:space="preserve">Aisha</w:t>
            </w:r>
          </w:p>
        </w:tc>
        <w:tc>
          <w:p>
            <w:pPr>
              <w:pStyle w:val="Compact"/>
              <w:jc w:val="left"/>
            </w:pPr>
            <w:r>
              <w:t xml:space="preserve">F</w:t>
            </w:r>
          </w:p>
        </w:tc>
        <w:tc>
          <w:p>
            <w:pPr>
              <w:pStyle w:val="Compact"/>
              <w:jc w:val="left"/>
            </w:pPr>
            <w:r>
              <w:t xml:space="preserve">middle</w:t>
            </w:r>
          </w:p>
        </w:tc>
        <w:tc>
          <w:p>
            <w:pPr>
              <w:pStyle w:val="Compact"/>
              <w:jc w:val="left"/>
            </w:pPr>
            <w:r>
              <w:t xml:space="preserve">14</w:t>
            </w:r>
          </w:p>
        </w:tc>
      </w:tr>
      <w:tr>
        <w:tc>
          <w:p>
            <w:pPr>
              <w:pStyle w:val="Compact"/>
              <w:jc w:val="left"/>
            </w:pPr>
            <w:r>
              <w:t xml:space="preserve">Anne</w:t>
            </w:r>
          </w:p>
        </w:tc>
        <w:tc>
          <w:p>
            <w:pPr>
              <w:pStyle w:val="Compact"/>
              <w:jc w:val="left"/>
            </w:pPr>
            <w:r>
              <w:t xml:space="preserve">F</w:t>
            </w:r>
          </w:p>
        </w:tc>
        <w:tc>
          <w:p>
            <w:pPr>
              <w:pStyle w:val="Compact"/>
              <w:jc w:val="left"/>
            </w:pPr>
            <w:r>
              <w:t xml:space="preserve">highest</w:t>
            </w:r>
          </w:p>
        </w:tc>
        <w:tc>
          <w:p>
            <w:pPr>
              <w:pStyle w:val="Compact"/>
              <w:jc w:val="left"/>
            </w:pPr>
            <w:r>
              <w:t xml:space="preserve">16</w:t>
            </w:r>
          </w:p>
        </w:tc>
        <w:tc>
          <w:p/>
        </w:tc>
        <w:tc>
          <w:p>
            <w:pPr>
              <w:pStyle w:val="Compact"/>
              <w:jc w:val="left"/>
            </w:pPr>
            <w:r>
              <w:t xml:space="preserve">Ebony</w:t>
            </w:r>
          </w:p>
        </w:tc>
        <w:tc>
          <w:p>
            <w:pPr>
              <w:pStyle w:val="Compact"/>
              <w:jc w:val="left"/>
            </w:pPr>
            <w:r>
              <w:t xml:space="preserve">F</w:t>
            </w:r>
          </w:p>
        </w:tc>
        <w:tc>
          <w:p>
            <w:pPr>
              <w:pStyle w:val="Compact"/>
              <w:jc w:val="left"/>
            </w:pPr>
            <w:r>
              <w:t xml:space="preserve">middle</w:t>
            </w:r>
          </w:p>
        </w:tc>
        <w:tc>
          <w:p>
            <w:pPr>
              <w:pStyle w:val="Compact"/>
              <w:jc w:val="left"/>
            </w:pPr>
            <w:r>
              <w:t xml:space="preserve">7</w:t>
            </w:r>
          </w:p>
        </w:tc>
      </w:tr>
      <w:tr>
        <w:tc>
          <w:p>
            <w:pPr>
              <w:pStyle w:val="Compact"/>
              <w:jc w:val="left"/>
            </w:pPr>
            <w:r>
              <w:t xml:space="preserve">Carrie</w:t>
            </w:r>
          </w:p>
        </w:tc>
        <w:tc>
          <w:p>
            <w:pPr>
              <w:pStyle w:val="Compact"/>
              <w:jc w:val="left"/>
            </w:pPr>
            <w:r>
              <w:t xml:space="preserve">F</w:t>
            </w:r>
          </w:p>
        </w:tc>
        <w:tc>
          <w:p>
            <w:pPr>
              <w:pStyle w:val="Compact"/>
              <w:jc w:val="left"/>
            </w:pPr>
            <w:r>
              <w:t xml:space="preserve">middle</w:t>
            </w:r>
          </w:p>
        </w:tc>
        <w:tc>
          <w:p>
            <w:pPr>
              <w:pStyle w:val="Compact"/>
              <w:jc w:val="left"/>
            </w:pPr>
            <w:r>
              <w:t xml:space="preserve">11</w:t>
            </w:r>
          </w:p>
        </w:tc>
        <w:tc>
          <w:p/>
        </w:tc>
        <w:tc>
          <w:p>
            <w:pPr>
              <w:pStyle w:val="Compact"/>
              <w:jc w:val="left"/>
            </w:pPr>
            <w:r>
              <w:t xml:space="preserve">Keisha</w:t>
            </w:r>
          </w:p>
        </w:tc>
        <w:tc>
          <w:p>
            <w:pPr>
              <w:pStyle w:val="Compact"/>
              <w:jc w:val="left"/>
            </w:pPr>
            <w:r>
              <w:t xml:space="preserve">F</w:t>
            </w:r>
          </w:p>
        </w:tc>
        <w:tc>
          <w:p>
            <w:pPr>
              <w:pStyle w:val="Compact"/>
              <w:jc w:val="left"/>
            </w:pPr>
            <w:r>
              <w:t xml:space="preserve">middle</w:t>
            </w:r>
          </w:p>
        </w:tc>
        <w:tc>
          <w:p>
            <w:pPr>
              <w:pStyle w:val="Compact"/>
              <w:jc w:val="left"/>
            </w:pPr>
            <w:r>
              <w:t xml:space="preserve">15</w:t>
            </w:r>
          </w:p>
        </w:tc>
      </w:tr>
      <w:tr>
        <w:tc>
          <w:p>
            <w:pPr>
              <w:pStyle w:val="Compact"/>
              <w:jc w:val="left"/>
            </w:pPr>
            <w:r>
              <w:t xml:space="preserve">Emily</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Latoya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11</w:t>
            </w:r>
          </w:p>
        </w:tc>
      </w:tr>
      <w:tr>
        <w:tc>
          <w:p>
            <w:pPr>
              <w:pStyle w:val="Compact"/>
              <w:jc w:val="left"/>
            </w:pPr>
            <w:r>
              <w:t xml:space="preserve">Jill</w:t>
            </w:r>
          </w:p>
        </w:tc>
        <w:tc>
          <w:p>
            <w:pPr>
              <w:pStyle w:val="Compact"/>
              <w:jc w:val="left"/>
            </w:pPr>
            <w:r>
              <w:t xml:space="preserve">F</w:t>
            </w:r>
          </w:p>
        </w:tc>
        <w:tc>
          <w:p>
            <w:pPr>
              <w:pStyle w:val="Compact"/>
              <w:jc w:val="left"/>
            </w:pPr>
            <w:r>
              <w:t xml:space="preserve">highest</w:t>
            </w:r>
          </w:p>
        </w:tc>
        <w:tc>
          <w:p>
            <w:pPr>
              <w:pStyle w:val="Compact"/>
              <w:jc w:val="left"/>
            </w:pPr>
            <w:r>
              <w:t xml:space="preserve">8</w:t>
            </w:r>
          </w:p>
        </w:tc>
        <w:tc>
          <w:p/>
        </w:tc>
        <w:tc>
          <w:p>
            <w:pPr>
              <w:pStyle w:val="Compact"/>
              <w:jc w:val="left"/>
            </w:pPr>
            <w:r>
              <w:t xml:space="preserve">Tamika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12</w:t>
            </w:r>
          </w:p>
        </w:tc>
      </w:tr>
      <w:tr>
        <w:tc>
          <w:p>
            <w:pPr>
              <w:pStyle w:val="Compact"/>
              <w:jc w:val="left"/>
            </w:pPr>
            <w:r>
              <w:t xml:space="preserve">Kristen</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Tanisha</w:t>
            </w:r>
          </w:p>
        </w:tc>
        <w:tc>
          <w:p>
            <w:pPr>
              <w:pStyle w:val="Compact"/>
              <w:jc w:val="left"/>
            </w:pPr>
            <w:r>
              <w:t xml:space="preserve">F</w:t>
            </w:r>
          </w:p>
        </w:tc>
        <w:tc>
          <w:p>
            <w:pPr>
              <w:pStyle w:val="Compact"/>
              <w:jc w:val="left"/>
            </w:pPr>
            <w:r>
              <w:t xml:space="preserve">middle</w:t>
            </w:r>
          </w:p>
        </w:tc>
        <w:tc>
          <w:p>
            <w:pPr>
              <w:pStyle w:val="Compact"/>
              <w:jc w:val="left"/>
            </w:pPr>
            <w:r>
              <w:t xml:space="preserve">17</w:t>
            </w:r>
          </w:p>
        </w:tc>
      </w:tr>
      <w:tr>
        <w:tc>
          <w:p>
            <w:pPr>
              <w:pStyle w:val="Compact"/>
              <w:jc w:val="left"/>
            </w:pPr>
            <w:r>
              <w:t xml:space="preserve">Laurie</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Darnell</w:t>
            </w:r>
          </w:p>
        </w:tc>
        <w:tc>
          <w:p>
            <w:pPr>
              <w:pStyle w:val="Compact"/>
              <w:jc w:val="left"/>
            </w:pPr>
            <w:r>
              <w:t xml:space="preserve">M</w:t>
            </w:r>
          </w:p>
        </w:tc>
        <w:tc>
          <w:p>
            <w:pPr>
              <w:pStyle w:val="Compact"/>
              <w:jc w:val="left"/>
            </w:pPr>
            <w:r>
              <w:t xml:space="preserve">middle</w:t>
            </w:r>
          </w:p>
        </w:tc>
        <w:tc>
          <w:p>
            <w:pPr>
              <w:pStyle w:val="Compact"/>
              <w:jc w:val="left"/>
            </w:pPr>
            <w:r>
              <w:t xml:space="preserve">8</w:t>
            </w:r>
          </w:p>
        </w:tc>
      </w:tr>
      <w:tr>
        <w:tc>
          <w:p>
            <w:pPr>
              <w:pStyle w:val="Compact"/>
              <w:jc w:val="left"/>
            </w:pPr>
            <w:r>
              <w:t xml:space="preserve">Meredith</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Hakim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Sarah</w:t>
            </w:r>
          </w:p>
        </w:tc>
        <w:tc>
          <w:p>
            <w:pPr>
              <w:pStyle w:val="Compact"/>
              <w:jc w:val="left"/>
            </w:pPr>
            <w:r>
              <w:t xml:space="preserve">F</w:t>
            </w:r>
          </w:p>
        </w:tc>
        <w:tc>
          <w:p>
            <w:pPr>
              <w:pStyle w:val="Compact"/>
              <w:jc w:val="left"/>
            </w:pPr>
            <w:r>
              <w:t xml:space="preserve">highest</w:t>
            </w:r>
          </w:p>
        </w:tc>
        <w:tc>
          <w:p>
            <w:pPr>
              <w:pStyle w:val="Compact"/>
              <w:jc w:val="left"/>
            </w:pPr>
            <w:r>
              <w:t xml:space="preserve">5</w:t>
            </w:r>
          </w:p>
        </w:tc>
        <w:tc>
          <w:p/>
        </w:tc>
        <w:tc>
          <w:p>
            <w:pPr>
              <w:pStyle w:val="Compact"/>
              <w:jc w:val="left"/>
            </w:pPr>
            <w:r>
              <w:t xml:space="preserve">Jamal</w:t>
            </w:r>
          </w:p>
        </w:tc>
        <w:tc>
          <w:p>
            <w:pPr>
              <w:pStyle w:val="Compact"/>
              <w:jc w:val="left"/>
            </w:pPr>
            <w:r>
              <w:t xml:space="preserve">M</w:t>
            </w:r>
          </w:p>
        </w:tc>
        <w:tc>
          <w:p>
            <w:pPr>
              <w:pStyle w:val="Compact"/>
              <w:jc w:val="left"/>
            </w:pPr>
            <w:r>
              <w:t xml:space="preserve">middle</w:t>
            </w:r>
          </w:p>
        </w:tc>
        <w:tc>
          <w:p>
            <w:pPr>
              <w:pStyle w:val="Compact"/>
              <w:jc w:val="left"/>
            </w:pPr>
            <w:r>
              <w:t xml:space="preserve">12</w:t>
            </w:r>
          </w:p>
        </w:tc>
      </w:tr>
      <w:tr>
        <w:tc>
          <w:p>
            <w:pPr>
              <w:pStyle w:val="Compact"/>
              <w:jc w:val="left"/>
            </w:pPr>
            <w:r>
              <w:t xml:space="preserve">Brad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pPr>
              <w:pStyle w:val="Compact"/>
              <w:jc w:val="left"/>
            </w:pPr>
            <w:r>
              <w:t xml:space="preserve">Jermaine</w:t>
            </w:r>
          </w:p>
        </w:tc>
        <w:tc>
          <w:p>
            <w:pPr>
              <w:pStyle w:val="Compact"/>
              <w:jc w:val="left"/>
            </w:pPr>
            <w:r>
              <w:t xml:space="preserve">M</w:t>
            </w:r>
          </w:p>
        </w:tc>
        <w:tc>
          <w:p>
            <w:pPr>
              <w:pStyle w:val="Compact"/>
              <w:jc w:val="left"/>
            </w:pPr>
            <w:r>
              <w:t xml:space="preserve">middle</w:t>
            </w:r>
          </w:p>
        </w:tc>
        <w:tc>
          <w:p>
            <w:pPr>
              <w:pStyle w:val="Compact"/>
              <w:jc w:val="left"/>
            </w:pPr>
            <w:r>
              <w:t xml:space="preserve">10</w:t>
            </w:r>
          </w:p>
        </w:tc>
      </w:tr>
      <w:tr>
        <w:tc>
          <w:p>
            <w:pPr>
              <w:pStyle w:val="Compact"/>
              <w:jc w:val="left"/>
            </w:pPr>
            <w:r>
              <w:t xml:space="preserve">Brendan</w:t>
            </w:r>
          </w:p>
        </w:tc>
        <w:tc>
          <w:p>
            <w:pPr>
              <w:pStyle w:val="Compact"/>
              <w:jc w:val="left"/>
            </w:pPr>
            <w:r>
              <w:t xml:space="preserve">M</w:t>
            </w:r>
          </w:p>
        </w:tc>
        <w:tc>
          <w:p>
            <w:pPr>
              <w:pStyle w:val="Compact"/>
              <w:jc w:val="left"/>
            </w:pPr>
            <w:r>
              <w:t xml:space="preserve">highest</w:t>
            </w:r>
          </w:p>
        </w:tc>
        <w:tc>
          <w:p>
            <w:pPr>
              <w:pStyle w:val="Compact"/>
              <w:jc w:val="left"/>
            </w:pPr>
            <w:r>
              <w:t xml:space="preserve">12</w:t>
            </w:r>
          </w:p>
        </w:tc>
        <w:tc>
          <w:p/>
        </w:tc>
        <w:tc>
          <w:p>
            <w:pPr>
              <w:pStyle w:val="Compact"/>
              <w:jc w:val="left"/>
            </w:pPr>
            <w:r>
              <w:t xml:space="preserve">Kareem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Brett</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Leroy</w:t>
            </w:r>
          </w:p>
        </w:tc>
        <w:tc>
          <w:p>
            <w:pPr>
              <w:pStyle w:val="Compact"/>
              <w:jc w:val="left"/>
            </w:pPr>
            <w:r>
              <w:t xml:space="preserve">M</w:t>
            </w:r>
          </w:p>
        </w:tc>
        <w:tc>
          <w:p>
            <w:pPr>
              <w:pStyle w:val="Compact"/>
              <w:jc w:val="left"/>
            </w:pPr>
            <w:r>
              <w:t xml:space="preserve">middle</w:t>
            </w:r>
          </w:p>
        </w:tc>
        <w:tc>
          <w:p>
            <w:pPr>
              <w:pStyle w:val="Compact"/>
              <w:jc w:val="left"/>
            </w:pPr>
            <w:r>
              <w:t xml:space="preserve">6</w:t>
            </w:r>
          </w:p>
        </w:tc>
      </w:tr>
      <w:tr>
        <w:tc>
          <w:p>
            <w:pPr>
              <w:pStyle w:val="Compact"/>
              <w:jc w:val="left"/>
            </w:pPr>
            <w:r>
              <w:t xml:space="preserve">Geoffrey</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Rasheed</w:t>
            </w:r>
          </w:p>
        </w:tc>
        <w:tc>
          <w:p>
            <w:pPr>
              <w:pStyle w:val="Compact"/>
              <w:jc w:val="left"/>
            </w:pPr>
            <w:r>
              <w:t xml:space="preserve">M</w:t>
            </w:r>
          </w:p>
        </w:tc>
        <w:tc>
          <w:p>
            <w:pPr>
              <w:pStyle w:val="Compact"/>
              <w:jc w:val="left"/>
            </w:pPr>
            <w:r>
              <w:t xml:space="preserve">middle</w:t>
            </w:r>
          </w:p>
        </w:tc>
        <w:tc>
          <w:p>
            <w:pPr>
              <w:pStyle w:val="Compact"/>
              <w:jc w:val="left"/>
            </w:pPr>
            <w:r>
              <w:t xml:space="preserve">9</w:t>
            </w:r>
          </w:p>
        </w:tc>
      </w:tr>
      <w:tr>
        <w:tc>
          <w:p>
            <w:pPr>
              <w:pStyle w:val="Compact"/>
              <w:jc w:val="left"/>
            </w:pPr>
            <w:r>
              <w:t xml:space="preserve">Greg</w:t>
            </w:r>
          </w:p>
        </w:tc>
        <w:tc>
          <w:p>
            <w:pPr>
              <w:pStyle w:val="Compact"/>
              <w:jc w:val="left"/>
            </w:pPr>
            <w:r>
              <w:t xml:space="preserve">M</w:t>
            </w:r>
          </w:p>
        </w:tc>
        <w:tc>
          <w:p>
            <w:pPr>
              <w:pStyle w:val="Compact"/>
              <w:jc w:val="left"/>
            </w:pPr>
            <w:r>
              <w:t xml:space="preserve">middle</w:t>
            </w:r>
          </w:p>
        </w:tc>
        <w:tc>
          <w:p>
            <w:pPr>
              <w:pStyle w:val="Compact"/>
              <w:jc w:val="left"/>
            </w:pPr>
            <w:r>
              <w:t xml:space="preserve">9</w:t>
            </w:r>
          </w:p>
        </w:tc>
        <w:tc>
          <w:p/>
        </w:tc>
        <w:tc>
          <w:p>
            <w:pPr>
              <w:pStyle w:val="Compact"/>
              <w:jc w:val="left"/>
            </w:pPr>
            <w:r>
              <w:t xml:space="preserve">Tyrone</w:t>
            </w:r>
          </w:p>
        </w:tc>
        <w:tc>
          <w:p>
            <w:pPr>
              <w:pStyle w:val="Compact"/>
              <w:jc w:val="left"/>
            </w:pPr>
            <w:r>
              <w:t xml:space="preserve">M</w:t>
            </w:r>
          </w:p>
        </w:tc>
        <w:tc>
          <w:p>
            <w:pPr>
              <w:pStyle w:val="Compact"/>
              <w:jc w:val="left"/>
            </w:pPr>
            <w:r>
              <w:t xml:space="preserve">middle</w:t>
            </w:r>
          </w:p>
        </w:tc>
        <w:tc>
          <w:p>
            <w:pPr>
              <w:pStyle w:val="Compact"/>
              <w:jc w:val="left"/>
            </w:pPr>
            <w:r>
              <w:t xml:space="preserve">7</w:t>
            </w:r>
          </w:p>
        </w:tc>
      </w:tr>
      <w:tr>
        <w:tc>
          <w:p>
            <w:pPr>
              <w:pStyle w:val="Compact"/>
              <w:jc w:val="left"/>
            </w:pPr>
            <w:r>
              <w:t xml:space="preserve">Jay</w:t>
            </w:r>
          </w:p>
        </w:tc>
        <w:tc>
          <w:p>
            <w:pPr>
              <w:pStyle w:val="Compact"/>
              <w:jc w:val="left"/>
            </w:pPr>
            <w:r>
              <w:t xml:space="preserve">M</w:t>
            </w:r>
          </w:p>
        </w:tc>
        <w:tc>
          <w:p>
            <w:pPr>
              <w:pStyle w:val="Compact"/>
              <w:jc w:val="left"/>
            </w:pPr>
            <w:r>
              <w:t xml:space="preserve">middle</w:t>
            </w:r>
          </w:p>
        </w:tc>
        <w:tc>
          <w:p>
            <w:pPr>
              <w:pStyle w:val="Compact"/>
              <w:jc w:val="left"/>
            </w:pPr>
            <w:r>
              <w:t xml:space="preserve">8</w:t>
            </w:r>
          </w:p>
        </w:tc>
        <w:tc>
          <w:p/>
        </w:tc>
        <w:tc>
          <w:p/>
        </w:tc>
        <w:tc>
          <w:p/>
        </w:tc>
        <w:tc>
          <w:p/>
        </w:tc>
        <w:tc>
          <w:p/>
        </w:tc>
      </w:tr>
      <w:tr>
        <w:tc>
          <w:p>
            <w:pPr>
              <w:pStyle w:val="Compact"/>
              <w:jc w:val="left"/>
            </w:pPr>
            <w:r>
              <w:t xml:space="preserve">Matthew</w:t>
            </w:r>
          </w:p>
        </w:tc>
        <w:tc>
          <w:p>
            <w:pPr>
              <w:pStyle w:val="Compact"/>
              <w:jc w:val="left"/>
            </w:pPr>
            <w:r>
              <w:t xml:space="preserve">M</w:t>
            </w:r>
          </w:p>
        </w:tc>
        <w:tc>
          <w:p>
            <w:pPr>
              <w:pStyle w:val="Compact"/>
              <w:jc w:val="left"/>
            </w:pPr>
            <w:r>
              <w:t xml:space="preserve">highest</w:t>
            </w:r>
          </w:p>
        </w:tc>
        <w:tc>
          <w:p>
            <w:pPr>
              <w:pStyle w:val="Compact"/>
              <w:jc w:val="left"/>
            </w:pPr>
            <w:r>
              <w:t xml:space="preserve">11</w:t>
            </w:r>
          </w:p>
        </w:tc>
        <w:tc>
          <w:p/>
        </w:tc>
        <w:tc>
          <w:p/>
        </w:tc>
        <w:tc>
          <w:p/>
        </w:tc>
        <w:tc>
          <w:p/>
        </w:tc>
        <w:tc>
          <w:p/>
        </w:tc>
      </w:tr>
      <w:tr>
        <w:tc>
          <w:p>
            <w:pPr>
              <w:pStyle w:val="Compact"/>
              <w:jc w:val="left"/>
            </w:pPr>
            <w:r>
              <w:t xml:space="preserve">Neil</w:t>
            </w:r>
          </w:p>
        </w:tc>
        <w:tc>
          <w:p>
            <w:pPr>
              <w:pStyle w:val="Compact"/>
              <w:jc w:val="left"/>
            </w:pPr>
            <w:r>
              <w:t xml:space="preserve">M</w:t>
            </w:r>
          </w:p>
        </w:tc>
        <w:tc>
          <w:p>
            <w:pPr>
              <w:pStyle w:val="Compact"/>
              <w:jc w:val="left"/>
            </w:pPr>
            <w:r>
              <w:t xml:space="preserve">highest</w:t>
            </w:r>
          </w:p>
        </w:tc>
        <w:tc>
          <w:p>
            <w:pPr>
              <w:pStyle w:val="Compact"/>
              <w:jc w:val="left"/>
            </w:pPr>
            <w:r>
              <w:t xml:space="preserve">4</w:t>
            </w:r>
          </w:p>
        </w:tc>
        <w:tc>
          <w:p/>
        </w:tc>
        <w:tc>
          <w:p/>
        </w:tc>
        <w:tc>
          <w:p/>
        </w:tc>
        <w:tc>
          <w:p/>
        </w:tc>
        <w:tc>
          <w:p/>
        </w:tc>
      </w:tr>
      <w:tr>
        <w:tc>
          <w:p>
            <w:pPr>
              <w:pStyle w:val="Compact"/>
              <w:jc w:val="left"/>
            </w:pPr>
            <w:r>
              <w:t xml:space="preserve">Todd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tc>
        <w:tc>
          <w:p/>
        </w:tc>
        <w:tc>
          <w:p/>
        </w:tc>
        <w:tc>
          <w:p/>
        </w:tc>
      </w:tr>
      <w:tr>
        <w:tc>
          <w:p>
            <w:pPr>
              <w:pStyle w:val="Compact"/>
              <w:jc w:val="left"/>
            </w:pPr>
            <w:r>
              <w:rPr>
                <w:bCs/>
                <w:b/>
              </w:rPr>
              <w:t xml:space="preserve">18 names</w:t>
            </w:r>
          </w:p>
        </w:tc>
        <w:tc>
          <w:p/>
        </w:tc>
        <w:tc>
          <w:p>
            <w:pPr>
              <w:pStyle w:val="Compact"/>
              <w:jc w:val="left"/>
            </w:pPr>
            <w:r>
              <w:rPr>
                <w:bCs/>
                <w:b/>
              </w:rPr>
              <w:t xml:space="preserve">11 highest, 7 middle, 0 lowest</w:t>
            </w:r>
          </w:p>
        </w:tc>
        <w:tc>
          <w:p/>
        </w:tc>
        <w:tc>
          <w:p/>
        </w:tc>
        <w:tc>
          <w:p>
            <w:pPr>
              <w:pStyle w:val="Compact"/>
              <w:jc w:val="left"/>
            </w:pPr>
            <w:r>
              <w:rPr>
                <w:bCs/>
                <w:b/>
              </w:rPr>
              <w:t xml:space="preserve">14 names</w:t>
            </w:r>
          </w:p>
        </w:tc>
        <w:tc>
          <w:p/>
        </w:tc>
        <w:tc>
          <w:p>
            <w:pPr>
              <w:pStyle w:val="Compact"/>
              <w:jc w:val="left"/>
            </w:pPr>
            <w:r>
              <w:rPr>
                <w:bCs/>
                <w:b/>
              </w:rPr>
              <w:t xml:space="preserve">0 highest, 12 middle, 2 lowest</w:t>
            </w:r>
          </w:p>
        </w:tc>
        <w:tc>
          <w:p/>
        </w:tc>
      </w:tr>
    </w:tbl>
    <w:p>
      <w:pPr>
        <w:pStyle w:val="BodyText"/>
      </w:pPr>
      <w:r>
        <w:t xml:space="preserve">Surnames, drawn independently and shared across both pools: Baker (36), Carter (30), Ellis (36), Hayes (34), Jenkins (28), Morgan (27), Palmer (32), Reynolds (24), Sutton (24), Warren (29). Sex is matched across C1 and C2 within a scenario, so gender is not confounded with the identity cue; the realized split is 76 female and 74 male scenarios.</w:t>
      </w:r>
    </w:p>
    <w:p>
      <w:pPr>
        <w:pStyle w:val="BodyText"/>
      </w:pPr>
      <w:r>
        <w:rPr>
          <w:bCs/>
          <w:b/>
        </w:rPr>
        <w:t xml:space="preserve">Two defects in the pool construction, both found after data collection.</w:t>
      </w:r>
    </w:p>
    <w:p>
      <w:pPr>
        <w:pStyle w:val="BodyText"/>
      </w:pPr>
      <w:r>
        <w:rPr>
          <w:iCs/>
          <w:i/>
        </w:rPr>
        <w:t xml:space="preserve">First, the exclusion list was not sourced to Gaddis and is wrong by its own stated rule.</w:t>
      </w:r>
      <w:r>
        <w:t xml:space="preserve"> </w:t>
      </w:r>
      <w:r>
        <w:t xml:space="preserve">Four Pool B names were dropped before the main grid — Lakisha, Latonya, Kenya, Tremayne — on the recorded ground that Gaddis</w:t>
      </w:r>
      <w:r>
        <w:t xml:space="preserve"> </w:t>
      </w:r>
      <w:r>
        <w:t xml:space="preserve">“</w:t>
      </w:r>
      <w:r>
        <w:t xml:space="preserve">specifically flags</w:t>
      </w:r>
      <w:r>
        <w:t xml:space="preserve">”</w:t>
      </w:r>
      <w:r>
        <w:t xml:space="preserve"> </w:t>
      </w:r>
      <w:r>
        <w:t xml:space="preserve">them as SES-atypical. Checked against Gaddis (2017) Table 1:</w:t>
      </w:r>
    </w:p>
    <w:tbl>
      <w:tblPr>
        <w:tblStyle w:val="Table"/>
        <w:tblW w:type="pct" w:w="0.0"/>
        <w:tblLook w:firstRow="1" w:lastRow="0" w:firstColumn="0" w:lastColumn="0" w:noHBand="0" w:noVBand="0" w:val="0020"/>
      </w:tblPr>
      <w:tblGrid/>
      <w:tr>
        <w:tc>
          <w:p>
            <w:pPr>
              <w:pStyle w:val="Compact"/>
              <w:jc w:val="left"/>
            </w:pPr>
            <w:r>
              <w:t xml:space="preserve">Excluded name</w:t>
            </w:r>
          </w:p>
        </w:tc>
        <w:tc>
          <w:p>
            <w:pPr>
              <w:pStyle w:val="Compact"/>
              <w:jc w:val="left"/>
            </w:pPr>
            <w:r>
              <w:t xml:space="preserve">Gaddis quartile</w:t>
            </w:r>
          </w:p>
        </w:tc>
        <w:tc>
          <w:p>
            <w:pPr>
              <w:pStyle w:val="Compact"/>
              <w:jc w:val="left"/>
            </w:pPr>
            <w:r>
              <w:t xml:space="preserve">Consistent with the stated rule?</w:t>
            </w:r>
          </w:p>
        </w:tc>
      </w:tr>
      <w:tr>
        <w:tc>
          <w:p>
            <w:pPr>
              <w:pStyle w:val="Compact"/>
              <w:jc w:val="left"/>
            </w:pPr>
            <w:r>
              <w:t xml:space="preserve">Lakisha</w:t>
            </w:r>
          </w:p>
        </w:tc>
        <w:tc>
          <w:p>
            <w:pPr>
              <w:pStyle w:val="Compact"/>
              <w:jc w:val="left"/>
            </w:pPr>
            <w:r>
              <w:t xml:space="preserve">lowest</w:t>
            </w:r>
          </w:p>
        </w:tc>
        <w:tc>
          <w:p>
            <w:pPr>
              <w:pStyle w:val="Compact"/>
              <w:jc w:val="left"/>
            </w:pPr>
            <w:r>
              <w:t xml:space="preserve">Yes</w:t>
            </w:r>
          </w:p>
        </w:tc>
      </w:tr>
      <w:tr>
        <w:tc>
          <w:p>
            <w:pPr>
              <w:pStyle w:val="Compact"/>
              <w:jc w:val="left"/>
            </w:pPr>
            <w:r>
              <w:t xml:space="preserve">Latonya</w:t>
            </w:r>
          </w:p>
        </w:tc>
        <w:tc>
          <w:p>
            <w:pPr>
              <w:pStyle w:val="Compact"/>
              <w:jc w:val="left"/>
            </w:pPr>
            <w:r>
              <w:t xml:space="preserve">lowest</w:t>
            </w:r>
          </w:p>
        </w:tc>
        <w:tc>
          <w:p>
            <w:pPr>
              <w:pStyle w:val="Compact"/>
              <w:jc w:val="left"/>
            </w:pPr>
            <w:r>
              <w:t xml:space="preserve">Yes</w:t>
            </w:r>
          </w:p>
        </w:tc>
      </w:tr>
      <w:tr>
        <w:tc>
          <w:p>
            <w:pPr>
              <w:pStyle w:val="Compact"/>
              <w:jc w:val="left"/>
            </w:pPr>
            <w:r>
              <w:t xml:space="preserve">Kenya</w:t>
            </w:r>
          </w:p>
        </w:tc>
        <w:tc>
          <w:p>
            <w:pPr>
              <w:pStyle w:val="Compact"/>
              <w:jc w:val="left"/>
            </w:pPr>
            <w:r>
              <w:t xml:space="preserve">middle</w:t>
            </w:r>
          </w:p>
        </w:tc>
        <w:tc>
          <w:p>
            <w:pPr>
              <w:pStyle w:val="Compact"/>
              <w:jc w:val="left"/>
            </w:pPr>
            <w:r>
              <w:rPr>
                <w:bCs/>
                <w:b/>
              </w:rPr>
              <w:t xml:space="preserve">No basis</w:t>
            </w:r>
          </w:p>
        </w:tc>
      </w:tr>
      <w:tr>
        <w:tc>
          <w:p>
            <w:pPr>
              <w:pStyle w:val="Compact"/>
              <w:jc w:val="left"/>
            </w:pPr>
            <w:r>
              <w:t xml:space="preserve">Tremayne</w:t>
            </w:r>
          </w:p>
        </w:tc>
        <w:tc>
          <w:p>
            <w:pPr>
              <w:pStyle w:val="Compact"/>
              <w:jc w:val="left"/>
            </w:pPr>
            <w:r>
              <w:t xml:space="preserve">middle</w:t>
            </w:r>
          </w:p>
        </w:tc>
        <w:tc>
          <w:p>
            <w:pPr>
              <w:pStyle w:val="Compact"/>
              <w:jc w:val="left"/>
            </w:pPr>
            <w:r>
              <w:rPr>
                <w:bCs/>
                <w:b/>
              </w:rPr>
              <w:t xml:space="preserve">No basis</w:t>
            </w:r>
          </w:p>
        </w:tc>
      </w:tr>
    </w:tbl>
    <w:p>
      <w:pPr>
        <w:pStyle w:val="BodyText"/>
      </w:pPr>
      <w:r>
        <w:t xml:space="preserve">And two names in the lowest quartile —</w:t>
      </w:r>
      <w:r>
        <w:t xml:space="preserve"> </w:t>
      </w:r>
      <w:r>
        <w:rPr>
          <w:bCs/>
          <w:b/>
        </w:rPr>
        <w:t xml:space="preserve">Latoya</w:t>
      </w:r>
      <w:r>
        <w:t xml:space="preserve"> </w:t>
      </w:r>
      <w:r>
        <w:t xml:space="preserve">and</w:t>
      </w:r>
      <w:r>
        <w:t xml:space="preserve"> </w:t>
      </w:r>
      <w:r>
        <w:rPr>
          <w:bCs/>
          <w:b/>
        </w:rPr>
        <w:t xml:space="preserve">Tamika</w:t>
      </w:r>
      <w:r>
        <w:t xml:space="preserve"> </w:t>
      </w:r>
      <w:r>
        <w:t xml:space="preserve">— were retained, which the same rule would have excluded. The exclusion therefore removed two names it had no ground to remove and kept two it did. Because the exclusion is applied identically across every scenario and condition, it cannot generate a spurious identity contrast; its effect is on which names constitute the cue, not on the comparison between cues. We report it because it was an unsourced intervention presented as a sourced one, and because it is not reproducible from the citation given.</w:t>
      </w:r>
    </w:p>
    <w:p>
      <w:pPr>
        <w:pStyle w:val="BodyText"/>
      </w:pPr>
      <w:r>
        <w:rPr>
          <w:iCs/>
          <w:i/>
        </w:rPr>
        <w:t xml:space="preserve">Second, and more consequentially, the two pools are not balanced on the SES correlate.</w:t>
      </w:r>
      <w:r>
        <w:t xml:space="preserve"> </w:t>
      </w:r>
      <w:r>
        <w:t xml:space="preserve">Pool A is 11 of 18 highest-quartile and contains no lowest-quartile name; Pool B contains no highest-quartile name and two lowest-quartile names. This is precisely the confound Gaddis (2017) identifies: a raw Bertrand–Mullainathan contrast varies perceived race and perceived class together.</w:t>
      </w:r>
      <w:r>
        <w:t xml:space="preserve"> </w:t>
      </w:r>
      <w:r>
        <w:rPr>
          <w:bCs/>
          <w:b/>
        </w:rPr>
        <w:t xml:space="preserve">The C1/C2 contrast in this paper must therefore be read as a joint race-and-class cue, not as a clean race cue,</w:t>
      </w:r>
      <w:r>
        <w:t xml:space="preserve"> </w:t>
      </w:r>
      <w:r>
        <w:t xml:space="preserve">and §3, §4.3 and §10 are written accordingly.</w:t>
      </w:r>
    </w:p>
    <w:p>
      <w:pPr>
        <w:pStyle w:val="BodyText"/>
      </w:pPr>
      <w:r>
        <w:rPr>
          <w:bCs/>
          <w:b/>
        </w:rPr>
        <w:t xml:space="preserve">Why the results survive this.</w:t>
      </w:r>
      <w:r>
        <w:t xml:space="preserve"> </w:t>
      </w:r>
      <w:r>
        <w:t xml:space="preserve">The confound runs in a single direction: the Pool A names signal both higher-status race and higher-status class, and the Pool B names the reverse. Any steering or opportunity-loss mechanism operating on either attribute would push the C1/C2 contrast the</w:t>
      </w:r>
      <w:r>
        <w:t xml:space="preserve"> </w:t>
      </w:r>
      <w:r>
        <w:rPr>
          <w:iCs/>
          <w:i/>
        </w:rPr>
        <w:t xml:space="preserve">same</w:t>
      </w:r>
      <w:r>
        <w:t xml:space="preserve"> </w:t>
      </w:r>
      <w:r>
        <w:t xml:space="preserve">way, so the design is biased</w:t>
      </w:r>
      <w:r>
        <w:t xml:space="preserve"> </w:t>
      </w:r>
      <w:r>
        <w:rPr>
          <w:bCs/>
          <w:b/>
        </w:rPr>
        <w:t xml:space="preserve">toward</w:t>
      </w:r>
      <w:r>
        <w:t xml:space="preserve"> </w:t>
      </w:r>
      <w:r>
        <w:t xml:space="preserve">detecting a difference. We detect none — 47 of 48 contrasts null in §8.4, and 105 of 105 null in §8.11, with replicate noise exceeding between-condition variance throughout. A null under a confound that should amplify the effect is stronger evidence of absence than a null under a clean cue, not weaker. What the confound does forbid is the</w:t>
      </w:r>
      <w:r>
        <w:t xml:space="preserve"> </w:t>
      </w:r>
      <w:r>
        <w:rPr>
          <w:iCs/>
          <w:i/>
        </w:rPr>
        <w:t xml:space="preserve">decomposition</w:t>
      </w:r>
      <w:r>
        <w:t xml:space="preserve">: we cannot say whether the absent effect is absent for race, for class, or for both, and we do not claim to.</w:t>
      </w:r>
    </w:p>
    <w:p>
      <w:pPr>
        <w:pStyle w:val="BodyText"/>
      </w:pPr>
      <w:r>
        <w:rPr>
          <w:bCs/>
          <w:b/>
        </w:rPr>
        <w:t xml:space="preserve">What would close this properly.</w:t>
      </w:r>
      <w:r>
        <w:t xml:space="preserve"> </w:t>
      </w:r>
      <w:r>
        <w:t xml:space="preserve">Per-name numeric scores for both perceived race and perceived social class, obtained as data rather than read off a figure. Crabtree et al. (2022) is the correct source for the class dimension and Gaddis (2017) for race; both are open access, and the underlying per-name estimates would need to be requested from the authors or taken from a replication archive. With those in hand the correct procedure is to rebuild both pools matched on perceived class and re-run C1/C2 — which is a new data collection, not a re-analysis. Until then C1/C2 stands as a joint cue and the voucher contrast C3, which requires no name instrument at all, carries the identity analysis.</w:t>
      </w:r>
    </w:p>
    <w:bookmarkEnd w:id="79"/>
    <w:bookmarkStart w:id="80"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2"/>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2"/>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2"/>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2"/>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2"/>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2"/>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2"/>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2"/>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2"/>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2"/>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80"/>
    <w:bookmarkStart w:id="81"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3"/>
        </w:numPr>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3"/>
        </w:numPr>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p>
    <w:p>
      <w:pPr>
        <w:numPr>
          <w:ilvl w:val="0"/>
          <w:numId w:val="1013"/>
        </w:numPr>
      </w:pPr>
      <w:r>
        <w:rPr>
          <w:bCs/>
          <w:b/>
        </w:rPr>
        <w:t xml:space="preserve">Replicate §8.10 (size sweep) on a second vendor.</w:t>
      </w:r>
      <w:r>
        <w:t xml:space="preserve"> </w:t>
      </w:r>
      <w:r>
        <w:t xml:space="preserve">~US$30 on Claude. §8.8 has already been replicated (Table 20b).</w:t>
      </w:r>
    </w:p>
    <w:p>
      <w:pPr>
        <w:numPr>
          <w:ilvl w:val="0"/>
          <w:numId w:val="1013"/>
        </w:numPr>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3"/>
        </w:numPr>
      </w:pPr>
      <w:r>
        <w:rPr>
          <w:bCs/>
          <w:b/>
        </w:rPr>
        <w:t xml:space="preserve">Name-perception validation (Appendix B) — partially closed, and rescoped.</w:t>
      </w:r>
      <w:r>
        <w:t xml:space="preserve"> </w:t>
      </w:r>
      <w:r>
        <w:t xml:space="preserve">The objective SES correlate is now recovered exactly from Gaddis (2017) Table 1 and reported for all 36 names; Appendix B has no remaining placeholder. What is</w:t>
      </w:r>
      <w:r>
        <w:t xml:space="preserve"> </w:t>
      </w:r>
      <w:r>
        <w:rPr>
          <w:iCs/>
          <w:i/>
        </w:rPr>
        <w:t xml:space="preserve">not</w:t>
      </w:r>
      <w:r>
        <w:t xml:space="preserve"> </w:t>
      </w:r>
      <w:r>
        <w:t xml:space="preserve">closed is the per-name numeric score for perceived race and perceived social class, because neither source tabulates them — Gaddis (2017) reports per-name perceived race only in raster figures, and per-name perceived</w:t>
      </w:r>
      <w:r>
        <w:t xml:space="preserve"> </w:t>
      </w:r>
      <w:r>
        <w:rPr>
          <w:iCs/>
          <w:i/>
        </w:rPr>
        <w:t xml:space="preserve">class</w:t>
      </w:r>
      <w:r>
        <w:t xml:space="preserve"> </w:t>
      </w:r>
      <w:r>
        <w:t xml:space="preserve">is not in that paper at all but in Crabtree et al. (2022), also as a figure. Reading values off those charts would fabricate precision, so we did not.</w:t>
      </w:r>
    </w:p>
    <w:p>
      <w:pPr>
        <w:numPr>
          <w:ilvl w:val="0"/>
          <w:numId w:val="1000"/>
        </w:numPr>
      </w:pPr>
      <w:r>
        <w:t xml:space="preserve">The original framing of this item was wrong in two ways worth recording. It attributed perceived-SES scores to Gaddis (2017), which does not measure them; and it treated the absence of scores as leaving C1/C2 simply</w:t>
      </w:r>
      <w:r>
        <w:t xml:space="preserve"> </w:t>
      </w:r>
      <w:r>
        <w:t xml:space="preserve">“</w:t>
      </w:r>
      <w:r>
        <w:t xml:space="preserve">unvalidated</w:t>
      </w:r>
      <w:r>
        <w:t xml:space="preserve">”</w:t>
      </w:r>
      <w:r>
        <w:t xml:space="preserve">. The recovered quartile data shows something more specific and more useful: the pools are systematically unbalanced on the SES correlate, so C1/C2 is a joint race-and-class cue whose confound biases</w:t>
      </w:r>
      <w:r>
        <w:t xml:space="preserve"> </w:t>
      </w:r>
      <w:r>
        <w:rPr>
          <w:iCs/>
          <w:i/>
        </w:rPr>
        <w:t xml:space="preserve">toward</w:t>
      </w:r>
      <w:r>
        <w:t xml:space="preserve"> </w:t>
      </w:r>
      <w:r>
        <w:t xml:space="preserve">detecting an effect. Closing this item properly means obtaining per-name estimates as data from the authors or a replication archive, rebuilding both pools matched on perceived class, and re-running C1/C2 — a new collection, not a re-analysis. Until then C3 (voucher) carries the identity analysis, and it needs no name instrument.</w:t>
      </w:r>
    </w:p>
    <w:p>
      <w:pPr>
        <w:numPr>
          <w:ilvl w:val="0"/>
          <w:numId w:val="1013"/>
        </w:numPr>
      </w:pP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p>
    <w:p>
      <w:pPr>
        <w:numPr>
          <w:ilvl w:val="0"/>
          <w:numId w:val="1013"/>
        </w:numPr>
      </w:pP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p>
    <w:p>
      <w:pPr>
        <w:numPr>
          <w:ilvl w:val="0"/>
          <w:numId w:val="1013"/>
        </w:numPr>
      </w:pP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3"/>
        </w:numPr>
      </w:pPr>
      <w:r>
        <w:rPr>
          <w:bCs/>
          <w:b/>
        </w:rPr>
        <w:t xml:space="preserve">ACS covariates — completed.</w:t>
      </w:r>
      <w:r>
        <w:t xml:space="preserve"> </w:t>
      </w:r>
      <w:r>
        <w:t xml:space="preserve">The Census API key was obtained and the covariates retrieved for all 2,327 New York tracts (</w:t>
      </w:r>
      <w:r>
        <w:rPr>
          <w:rStyle w:val="VerbatimChar"/>
        </w:rPr>
        <w:t xml:space="preserve">code/17_fetch_acs.py</w:t>
      </w:r>
      <w:r>
        <w:t xml:space="preserve">). This closed the two items previously listed here: the ACS borough column of Table 2b, and the S3 neighborhood-exposure measure, now reported in §8.11. Three notes for anyone reproducing this:</w:t>
      </w:r>
    </w:p>
    <w:p>
      <w:pPr>
        <w:numPr>
          <w:ilvl w:val="0"/>
          <w:numId w:val="1000"/>
        </w:numPr>
      </w:pPr>
      <w:r>
        <w:rPr>
          <w:iCs/>
          <w:i/>
        </w:rPr>
        <w:t xml:space="preserve">Failure modes are silent.</w:t>
      </w:r>
      <w:r>
        <w:t xml:space="preserve"> </w:t>
      </w:r>
      <w:r>
        <w:t xml:space="preserve">An unauthenticated request returns HTTP 200 and redirects to an HTML page titled</w:t>
      </w:r>
      <w:r>
        <w:t xml:space="preserve"> </w:t>
      </w:r>
      <w:r>
        <w:t xml:space="preserve">“</w:t>
      </w:r>
      <w:r>
        <w:t xml:space="preserve">Missing Key</w:t>
      </w:r>
      <w:r>
        <w:t xml:space="preserve">”</w:t>
      </w:r>
      <w:r>
        <w:t xml:space="preserve">; an unactivated key returns HTTP 200 with</w:t>
      </w:r>
      <w:r>
        <w:t xml:space="preserve"> </w:t>
      </w:r>
      <w:r>
        <w:t xml:space="preserve">“</w:t>
      </w:r>
      <w:r>
        <w:t xml:space="preserve">Invalid Key</w:t>
      </w:r>
      <w:r>
        <w:t xml:space="preserve">”</w:t>
      </w:r>
      <w:r>
        <w:t xml:space="preserve">. Neither raises an exception and neither is distinguishable by status code. Check the response body.</w:t>
      </w:r>
    </w:p>
    <w:p>
      <w:pPr>
        <w:numPr>
          <w:ilvl w:val="0"/>
          <w:numId w:val="1000"/>
        </w:numPr>
      </w:pPr>
      <w:r>
        <w:rPr>
          <w:iCs/>
          <w:i/>
        </w:rPr>
        <w:t xml:space="preserve">The key must be activated by email link</w:t>
      </w:r>
      <w:r>
        <w:t xml:space="preserve">, and there is a delay of a minute or two after activation before it is honoured. An immediate retry may fail where a retry ninety seconds later succeeds.</w:t>
      </w:r>
    </w:p>
    <w:p>
      <w:pPr>
        <w:numPr>
          <w:ilvl w:val="0"/>
          <w:numId w:val="1000"/>
        </w:numPr>
      </w:pPr>
      <w:r>
        <w:rPr>
          <w:iCs/>
          <w:i/>
        </w:rPr>
        <w:t xml:space="preserve">The key travels in the query string</w:t>
      </w:r>
      <w:r>
        <w:t xml:space="preserve">, so an unguarded traceback will print it:</w:t>
      </w:r>
      <w:r>
        <w:t xml:space="preserve"> </w:t>
      </w:r>
      <w:r>
        <w:rPr>
          <w:rStyle w:val="VerbatimChar"/>
        </w:rPr>
        <w:t xml:space="preserve">urllib</w:t>
      </w:r>
      <w:r>
        <w:t xml:space="preserve"> </w:t>
      </w:r>
      <w:r>
        <w:t xml:space="preserve">includes the full URL in its exception messages.</w:t>
      </w:r>
      <w:r>
        <w:t xml:space="preserve"> </w:t>
      </w:r>
      <w:r>
        <w:rPr>
          <w:rStyle w:val="VerbatimChar"/>
        </w:rPr>
        <w:t xml:space="preserve">code/17_fetch_acs.py</w:t>
      </w:r>
      <w:r>
        <w:t xml:space="preserve"> </w:t>
      </w:r>
      <w:r>
        <w:t xml:space="preserve">redacts the key from every exception it re-raises for this reason.</w:t>
      </w:r>
    </w:p>
    <w:p>
      <w:pPr>
        <w:numPr>
          <w:ilvl w:val="0"/>
          <w:numId w:val="1013"/>
        </w:numPr>
      </w:pPr>
      <w:r>
        <w:rPr>
          <w:bCs/>
          <w:b/>
        </w:rPr>
        <w:t xml:space="preserve">Open-weight arm.</w:t>
      </w:r>
      <w:r>
        <w:t xml:space="preserve"> </w:t>
      </w:r>
      <w:r>
        <w:t xml:space="preserve">A fixed-weight model so at least one result remains reproducible after snapshot deprecation.</w:t>
      </w:r>
    </w:p>
    <w:p>
      <w:pPr>
        <w:numPr>
          <w:ilvl w:val="0"/>
          <w:numId w:val="1013"/>
        </w:numPr>
      </w:pPr>
      <w:r>
        <w:rPr>
          <w:bCs/>
          <w:b/>
        </w:rPr>
        <w:t xml:space="preserve">Registration.</w:t>
      </w:r>
      <w:r>
        <w:t xml:space="preserve"> </w:t>
      </w:r>
      <w:r>
        <w:t xml:space="preserve">Any additional data collection should be registered before it begins (§7.6).</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2026-09-08T23:35:56Z</dcterms:created>
  <dcterms:modified xsi:type="dcterms:W3CDTF">2026-09-08T23:35:56Z</dcterms:modified>
</cp:coreProperties>
</file>

<file path=docProps/custom.xml><?xml version="1.0" encoding="utf-8"?>
<Properties xmlns="http://schemas.openxmlformats.org/officeDocument/2006/custom-properties" xmlns:vt="http://schemas.openxmlformats.org/officeDocument/2006/docPropsVTypes"/>
</file>