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5.png" ContentType="image/png"/>
  <Override PartName="/word/media/rId57.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3"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DDes (Harvard University). Independent Researcher. Correspondence: hsuanlo@alumni.harvard.edu</w:t>
      </w:r>
    </w:p>
    <w:p>
      <w:pPr>
        <w:pStyle w:val="BodyText"/>
      </w:pPr>
      <w:r>
        <w:rPr>
          <w:bCs/>
          <w:b/>
        </w:rPr>
        <w:t xml:space="preserve">Status.</w:t>
      </w:r>
      <w:r>
        <w:t xml:space="preserve"> </w:t>
      </w:r>
      <w:r>
        <w:t xml:space="preserve">v0.2, 6 September 2026. Sections 1–8 and 10 report completed results from</w:t>
      </w:r>
      <w:r>
        <w:t xml:space="preserve"> </w:t>
      </w:r>
      <w:r>
        <w:rPr>
          <w:bCs/>
          <w:b/>
        </w:rPr>
        <w:t xml:space="preserve">9,945 attempted model calls (9,601 parsed, 96.5%)</w:t>
      </w:r>
      <w:r>
        <w:t xml:space="preserve"> </w:t>
      </w:r>
      <w:r>
        <w:t xml:space="preserve">across three models and two vendors, of which the matched identity grid is 6,840 attempted (6,631 parsed); the remainder are the within-scenario priority, pool-density and candidate-set-size arms (Table 12b).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show that models steer users toward different neighborhoods depending on perceived racial identity. None can say what a user loses when a recommender simply overlooks a suitable option, because none has an enumerated inventory to score omissions against.</w:t>
      </w:r>
    </w:p>
    <w:p>
      <w:pPr>
        <w:pStyle w:val="BodyText"/>
      </w:pPr>
      <w:r>
        <w:t xml:space="preserve">We audit AI housing recommendation against a verifiable ground truth. For each of 150 synthetic renter scenarios in New York City we build a pool of 120 real listings with known rent, bedrooms, and GTFS-computed transit commute, compute the exact set satisfying the renter’s stated constraints, and derive its Pareto frontier. The primary outcome assumes no utility function: a recommendation is strictly dominated if the same pool holds a listing that is cheaper, faster to commute from, and no smaller in bedrooms. We report 9,945 model calls (96.5% parsed) across three models and two vendors, for US$57.01 in API cost.</w:t>
      </w:r>
    </w:p>
    <w:p>
      <w:pPr>
        <w:pStyle w:val="BodyText"/>
      </w:pPr>
      <w:r>
        <w:t xml:space="preserve">Constraint compliance is near-perfect: models violate a stated hard constraint on 1.8% of recommendations against a 66.6% random-selection floor. Optimization is poor and priced. 39.0% of recommendations are strictly dominated, and where one is dominated the dominating listing is a median $900/month cheaper and 3.5 minutes closer. On rent the models underperform random selection (+$498/month versus +$261 against the oracle).</w:t>
      </w:r>
    </w:p>
    <w:p>
      <w:pPr>
        <w:pStyle w:val="BodyText"/>
      </w:pPr>
      <w:r>
        <w:t xml:space="preserve">A within-scenario manipulation separates two capabilities usually conflated. Models do honor stated preferences: changing one sentence moves median recommended rent by $646/month in the correct direction. Yet recommendations still sit +$606/month above the five cheapest qualifying listings on the same screen, and an unambiguous lexicographic instruction yields no improvement, established by equivalence testing against a pre-specified $50 bound. The gap widens with candidate-set size: the cheapest listing appears in 93.7% of answers at ten candidates, 53.5% at eighty. This replicates across OpenAI and Anthropic models spanning a 45x price range, agreeing within $3. We characterize the failure as compliance without optimization.</w:t>
      </w:r>
    </w:p>
    <w:p>
      <w:pPr>
        <w:pStyle w:val="BodyText"/>
      </w:pPr>
      <w:r>
        <w:t xml:space="preserve">We detect almost no identity-conditioned disparity. Of 48 pre-specified contrasts, 47 return null after Benjamini-Hochberg correction, and a further 105 contrasts on the census-tract characteristics of recommended listings return none, with replicate noise exceeding between-condition variance. This null holds for re-ranking a fixed candidate set and does not license claims about open-ended search, where prior work finds steering.</w:t>
      </w:r>
    </w:p>
    <w:p>
      <w:pPr>
        <w:pStyle w:val="BodyText"/>
      </w:pPr>
      <w:r>
        <w:t xml:space="preserve">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2"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bookmarkStart w:id="21" w:name="summary-of-findings"/>
    <w:p>
      <w:pPr>
        <w:pStyle w:val="Heading3"/>
      </w:pPr>
      <w:r>
        <w:t xml:space="preserve">1.1 Summary of findings</w:t>
      </w:r>
    </w:p>
    <w:p>
      <w:pPr>
        <w:pStyle w:val="FirstParagraph"/>
      </w:pPr>
      <w:r>
        <w:t xml:space="preserve">The abstract states the headline result. This section gives the full set, in the order the results section reports them, so that a reader can see the whole evidential picture before the design that produced it. Every figure here is carried forward from Section 8 and none is introduced elsewhere.</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r>
        <w:pict>
          <v:rect style="width:0;height:1.5pt" o:hralign="center" o:hrstd="t" o:hr="t"/>
        </w:pict>
      </w:r>
    </w:p>
    <w:bookmarkEnd w:id="21"/>
    <w:bookmarkEnd w:id="22"/>
    <w:bookmarkStart w:id="28" w:name="related-work"/>
    <w:p>
      <w:pPr>
        <w:pStyle w:val="Heading2"/>
      </w:pPr>
      <w:r>
        <w:t xml:space="preserve">2. Related Work</w:t>
      </w:r>
    </w:p>
    <w:bookmarkStart w:id="23"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3"/>
    <w:bookmarkStart w:id="24"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4"/>
    <w:bookmarkStart w:id="25"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5"/>
    <w:bookmarkStart w:id="26"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6"/>
    <w:bookmarkStart w:id="27"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7"/>
    <w:bookmarkEnd w:id="28"/>
    <w:bookmarkStart w:id="29"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9"/>
    <w:bookmarkStart w:id="35" w:name="study-design"/>
    <w:p>
      <w:pPr>
        <w:pStyle w:val="Heading2"/>
      </w:pPr>
      <w:r>
        <w:t xml:space="preserve">4. Study Design</w:t>
      </w:r>
    </w:p>
    <w:bookmarkStart w:id="30"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30"/>
    <w:bookmarkStart w:id="31"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1"/>
    <w:bookmarkStart w:id="32"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2"/>
    <w:bookmarkStart w:id="33"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3"/>
    <w:bookmarkStart w:id="34"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4"/>
    <w:bookmarkEnd w:id="35"/>
    <w:bookmarkStart w:id="42" w:name="data"/>
    <w:p>
      <w:pPr>
        <w:pStyle w:val="Heading2"/>
      </w:pPr>
      <w:r>
        <w:t xml:space="preserve">5. Data</w:t>
      </w:r>
    </w:p>
    <w:bookmarkStart w:id="36"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6"/>
    <w:bookmarkStart w:id="37"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7"/>
    <w:bookmarkStart w:id="38"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8"/>
    <w:bookmarkStart w:id="39"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9).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9"/>
    <w:bookmarkStart w:id="41"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40"/>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1"/>
    <w:bookmarkEnd w:id="42"/>
    <w:bookmarkStart w:id="47"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3"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3"/>
    <w:bookmarkStart w:id="44"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4"/>
    <w:bookmarkStart w:id="45"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5"/>
    <w:bookmarkStart w:id="46"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6"/>
    <w:bookmarkEnd w:id="47"/>
    <w:bookmarkStart w:id="54" w:name="statistical-analysis"/>
    <w:p>
      <w:pPr>
        <w:pStyle w:val="Heading2"/>
      </w:pPr>
      <w:r>
        <w:t xml:space="preserve">7. Statistical Analysis</w:t>
      </w:r>
    </w:p>
    <w:bookmarkStart w:id="48"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(6,840). We state this explicitly because treating calls as independent observations is the characteristic inferential error of large-scale LLM audits.</w:t>
      </w:r>
    </w:p>
    <w:bookmarkEnd w:id="48"/>
    <w:bookmarkStart w:id="49"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9"/>
    <w:bookmarkStart w:id="50"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50"/>
    <w:bookmarkStart w:id="51"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1"/>
    <w:bookmarkStart w:id="52"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2"/>
    <w:bookmarkStart w:id="53"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3"/>
    <w:bookmarkEnd w:id="54"/>
    <w:bookmarkStart w:id="69"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6"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6"/>
    <w:bookmarkStart w:id="58"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7"/>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8"/>
    <w:bookmarkStart w:id="59"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9"/>
    <w:bookmarkStart w:id="60"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60"/>
    <w:bookmarkStart w:id="61"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1"/>
    <w:bookmarkStart w:id="62"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2"/>
    <w:bookmarkStart w:id="63"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3"/>
    <w:bookmarkStart w:id="64"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4"/>
    <w:bookmarkStart w:id="65"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5"/>
    <w:bookmarkStart w:id="67"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6"/>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7"/>
    <w:bookmarkStart w:id="68"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8"/>
    <w:bookmarkEnd w:id="69"/>
    <w:bookmarkStart w:id="75" w:name="discussion-and-recommendations"/>
    <w:p>
      <w:pPr>
        <w:pStyle w:val="Heading2"/>
      </w:pPr>
      <w:r>
        <w:t xml:space="preserve">9. Discussion and Recommendations</w:t>
      </w:r>
    </w:p>
    <w:bookmarkStart w:id="70"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70"/>
    <w:bookmarkStart w:id="71"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1"/>
    <w:bookmarkStart w:id="72"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2"/>
    <w:bookmarkStart w:id="73"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3"/>
    <w:bookmarkStart w:id="74"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4"/>
    <w:bookmarkEnd w:id="75"/>
    <w:bookmarkStart w:id="76"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6"/>
    <w:bookmarkStart w:id="77"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7"/>
    <w:bookmarkStart w:id="78"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8"/>
    <w:bookmarkStart w:id="79"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9"/>
    <w:bookmarkStart w:id="80"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80"/>
    <w:bookmarkStart w:id="81"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1"/>
    <w:bookmarkStart w:id="82"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p>
    <w:p>
      <w:pPr>
        <w:numPr>
          <w:ilvl w:val="0"/>
          <w:numId w:val="1013"/>
        </w:numPr>
      </w:pP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p>
    <w:p>
      <w:pPr>
        <w:numPr>
          <w:ilvl w:val="0"/>
          <w:numId w:val="1013"/>
        </w:numPr>
      </w:pP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p>
    <w:p>
      <w:pPr>
        <w:numPr>
          <w:ilvl w:val="0"/>
          <w:numId w:val="1013"/>
        </w:numPr>
      </w:pP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p>
    <w:p>
      <w:pPr>
        <w:numPr>
          <w:ilvl w:val="0"/>
          <w:numId w:val="1013"/>
        </w:numPr>
      </w:pP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5" Target="media/rId55.png" /><Relationship Type="http://schemas.openxmlformats.org/officeDocument/2006/relationships/image" Id="rId57" Target="media/rId57.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2026-09-09T02:08:18Z</dcterms:created>
  <dcterms:modified xsi:type="dcterms:W3CDTF">2026-09-09T02:08:18Z</dcterms:modified>
</cp:coreProperties>
</file>

<file path=docProps/custom.xml><?xml version="1.0" encoding="utf-8"?>
<Properties xmlns="http://schemas.openxmlformats.org/officeDocument/2006/custom-properties" xmlns:vt="http://schemas.openxmlformats.org/officeDocument/2006/docPropsVTypes"/>
</file>