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4.png" ContentType="image/png"/>
  <Override PartName="/word/media/rId5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DDes (Harvard University). Independent Researcher. Correspondence: hsuanlo@alumni.harvard.edu</w:t>
      </w:r>
    </w:p>
    <w:p>
      <w:pPr>
        <w:pStyle w:val="BodyText"/>
      </w:pPr>
      <w:r>
        <w:rPr>
          <w:bCs/>
          <w:b/>
        </w:rPr>
        <w:t xml:space="preserve">Status.</w:t>
      </w:r>
      <w:r>
        <w:t xml:space="preserve"> </w:t>
      </w:r>
      <w:r>
        <w:t xml:space="preserve">v0.2, 6 September 2026. Sections 1–8 and 10 report completed results from 6,120 audited model calls.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establish that models steer users toward different neighborhoods depending on perceived racial identity, and that LLM re-rankers improve engagement on commercial listing platforms. Neither line of work can say what a user</w:t>
      </w:r>
      <w:r>
        <w:t xml:space="preserve"> </w:t>
      </w:r>
      <w:r>
        <w:rPr>
          <w:iCs/>
          <w:i/>
        </w:rPr>
        <w:t xml:space="preserve">loses</w:t>
      </w:r>
      <w:r>
        <w:t xml:space="preserve"> </w:t>
      </w:r>
      <w:r>
        <w:t xml:space="preserve">when a recommender overlooks a suitable option.</w:t>
      </w:r>
    </w:p>
    <w:p>
      <w:pPr>
        <w:pStyle w:val="BodyText"/>
      </w:pPr>
      <w:r>
        <w:t xml:space="preserve">We audit AI housing recommendation against a verifiable ground truth. For each of 150 synthetic renter scenarios in New York City we construct a candidate pool of 120 real rental listings with known rent, bedroom count, and GTFS-computed transit commute, compute the exact set satisfying the user’s stated hard constraints, and derive its Pareto frontier. We measure what four architectures return under four identity conditions that hold the request and the pool fixed and vary only an identity cue. Primary outcomes are free of any assumed utility function: confirmed constraint violation,</w:t>
      </w:r>
      <w:r>
        <w:t xml:space="preserve"> </w:t>
      </w:r>
      <w:r>
        <w:rPr>
          <w:bCs/>
          <w:b/>
        </w:rPr>
        <w:t xml:space="preserve">strict dominance</w:t>
      </w:r>
      <w:r>
        <w:t xml:space="preserve"> </w:t>
      </w:r>
      <w:r>
        <w:t xml:space="preserve">(a recommendation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another listing in the same pool; floor area is not used), and cost gaps in dollars and minutes. Inference is by within-scenario randomization. We report</w:t>
      </w:r>
      <w:r>
        <w:t xml:space="preserve"> </w:t>
      </w:r>
      <w:r>
        <w:rPr>
          <w:bCs/>
          <w:b/>
        </w:rPr>
        <w:t xml:space="preserve">9,945 attempted calls (9,601 parsed, 96.5%) across three models and two vendors</w:t>
      </w:r>
      <w:r>
        <w:t xml:space="preserve">, for a total API cost of</w:t>
      </w:r>
      <w:r>
        <w:t xml:space="preserve"> </w:t>
      </w:r>
      <w:r>
        <w:rPr>
          <w:bCs/>
          <w:b/>
        </w:rPr>
        <w:t xml:space="preserve">US$57.01</w:t>
      </w:r>
      <w:r>
        <w:t xml:space="preserve"> </w:t>
      </w:r>
      <w:r>
        <w:t xml:space="preserve">(Table 12b).</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A further 105 contrasts on the ACS tract characteristics of recommended listings — the measure most directly comparable to the steering literature — return</w:t>
      </w:r>
      <w:r>
        <w:t xml:space="preserve"> </w:t>
      </w:r>
      <w:r>
        <w:rPr>
          <w:bCs/>
          <w:b/>
        </w:rPr>
        <w:t xml:space="preserve">no</w:t>
      </w:r>
      <w:r>
        <w:t xml:space="preserve"> </w:t>
      </w:r>
      <w:r>
        <w:t xml:space="preserve">significant effect after correction, with replicate noise exceeding between-condition variance for all seven neighborhood outcomes (§8.11).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p>
      <w:r>
        <w:pict>
          <v:rect style="width:0;height:1.5pt" o:hralign="center" o:hrstd="t" o:hr="t"/>
        </w:pict>
      </w:r>
    </w:p>
    <w:bookmarkEnd w:id="21"/>
    <w:bookmarkStart w:id="27" w:name="related-work"/>
    <w:p>
      <w:pPr>
        <w:pStyle w:val="Heading2"/>
      </w:pPr>
      <w:r>
        <w:t xml:space="preserve">2. Related Work</w:t>
      </w:r>
    </w:p>
    <w:bookmarkStart w:id="22"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2"/>
    <w:bookmarkStart w:id="23"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3"/>
    <w:bookmarkStart w:id="24"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4"/>
    <w:bookmarkStart w:id="25"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5"/>
    <w:bookmarkStart w:id="26"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6"/>
    <w:bookmarkEnd w:id="27"/>
    <w:bookmarkStart w:id="28"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8"/>
    <w:bookmarkStart w:id="34" w:name="study-design"/>
    <w:p>
      <w:pPr>
        <w:pStyle w:val="Heading2"/>
      </w:pPr>
      <w:r>
        <w:t xml:space="preserve">4. Study Design</w:t>
      </w:r>
    </w:p>
    <w:bookmarkStart w:id="29"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29"/>
    <w:bookmarkStart w:id="30"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0"/>
    <w:bookmarkStart w:id="31"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from the Bertrand–Mullainathan</w:t>
            </w:r>
            <w:r>
              <w:t xml:space="preserve"> </w:t>
            </w:r>
            <w:r>
              <w:t xml:space="preserve">“</w:t>
            </w:r>
            <w:r>
              <w:t xml:space="preserve">white-sounding</w:t>
            </w:r>
            <w:r>
              <w:t xml:space="preserve">”</w:t>
            </w:r>
            <w:r>
              <w:t xml:space="preserve"> </w:t>
            </w:r>
            <w:r>
              <w:t xml:space="preserve">list (Appendix B)</w:t>
            </w:r>
          </w:p>
        </w:tc>
      </w:tr>
      <w:tr>
        <w:tc>
          <w:p>
            <w:pPr>
              <w:pStyle w:val="Compact"/>
              <w:jc w:val="left"/>
            </w:pPr>
            <w:r>
              <w:rPr>
                <w:bCs/>
                <w:b/>
              </w:rPr>
              <w:t xml:space="preserve">C2 Name cue B</w:t>
            </w:r>
          </w:p>
        </w:tc>
        <w:tc>
          <w:p>
            <w:pPr>
              <w:pStyle w:val="Compact"/>
              <w:jc w:val="left"/>
            </w:pPr>
            <w:r>
              <w:t xml:space="preserve">Signing name from the contrasting</w:t>
            </w:r>
            <w:r>
              <w:t xml:space="preserve"> </w:t>
            </w:r>
            <w:r>
              <w:t xml:space="preserve">“</w:t>
            </w:r>
            <w:r>
              <w:t xml:space="preserve">Black-sounding</w:t>
            </w:r>
            <w:r>
              <w:t xml:space="preserve">”</w:t>
            </w:r>
            <w:r>
              <w:t xml:space="preserve"> </w:t>
            </w:r>
            <w:r>
              <w:t xml:space="preserve">list.</w:t>
            </w:r>
            <w:r>
              <w:t xml:space="preserve"> </w:t>
            </w:r>
            <w:r>
              <w:rPr>
                <w:bCs/>
                <w:b/>
              </w:rPr>
              <w:t xml:space="preserve">Joint race-and-class cue</w:t>
            </w:r>
            <w:r>
              <w:t xml:space="preserve"> </w:t>
            </w:r>
            <w:r>
              <w:t xml:space="preserve">— the pools are unbalanced on the Gaddis (2017) SES correlate; see Appendix B</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recoverable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1"/>
    <w:bookmarkStart w:id="32"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2"/>
    <w:bookmarkStart w:id="33"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3"/>
    <w:bookmarkEnd w:id="34"/>
    <w:bookmarkStart w:id="41" w:name="data"/>
    <w:p>
      <w:pPr>
        <w:pStyle w:val="Heading2"/>
      </w:pPr>
      <w:r>
        <w:t xml:space="preserve">5. Data</w:t>
      </w:r>
    </w:p>
    <w:bookmarkStart w:id="35"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5"/>
    <w:bookmarkStart w:id="36"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6"/>
    <w:bookmarkStart w:id="37"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t xml:space="preserve">These covariates</w:t>
      </w:r>
      <w:r>
        <w:t xml:space="preserve"> </w:t>
      </w:r>
      <w:r>
        <w:rPr>
          <w:bCs/>
          <w:b/>
        </w:rPr>
        <w:t xml:space="preserve">were</w:t>
      </w:r>
      <w:r>
        <w:t xml:space="preserve"> </w:t>
      </w:r>
      <w:r>
        <w:t xml:space="preserve">retrieved, in</w:t>
      </w:r>
      <w:r>
        <w:t xml:space="preserve"> </w:t>
      </w:r>
      <w:r>
        <w:rPr>
          <w:rStyle w:val="VerbatimChar"/>
        </w:rPr>
        <w:t xml:space="preserve">code/17_fetch_acs.py</w:t>
      </w:r>
      <w:r>
        <w:t xml:space="preserve">, for all</w:t>
      </w:r>
      <w:r>
        <w:t xml:space="preserve"> </w:t>
      </w:r>
      <w:r>
        <w:rPr>
          <w:bCs/>
          <w:b/>
        </w:rPr>
        <w:t xml:space="preserve">2,327</w:t>
      </w:r>
      <w:r>
        <w:t xml:space="preserve"> </w:t>
      </w:r>
      <w:r>
        <w:t xml:space="preserve">census tracts in the five New York counties, matching the tract count in the TIGER geometry used for the spatial join. 99.5% of listings resolve to a tract with a non-suppressed median-income estimate; the remainder fall in tracts where ACS suppresses the estimate for small population, and are dropped from S3 only.</w:t>
      </w:r>
    </w:p>
    <w:p>
      <w:pPr>
        <w:pStyle w:val="BodyText"/>
      </w:pPr>
      <w:r>
        <w:t xml:space="preserve">An earlier version of this paper reported these covariates as not retrieved and dropped the S3 measure accordingly. That was a consequence of the Census API key not yet being available, not of any design decision, and it has been corrected: S3 is reported in §8.11.</w:t>
      </w:r>
    </w:p>
    <w:bookmarkEnd w:id="37"/>
    <w:bookmarkStart w:id="38"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against NYCHVS 2023 and ACS 2023.</w:t>
      </w:r>
      <w:r>
        <w:t xml:space="preserve"> </w:t>
      </w:r>
      <w:r>
        <w:t xml:space="preserve">Gross rent, weighted by the NYCHVS final household weight</w:t>
      </w:r>
      <w:r>
        <w:t xml:space="preserve"> </w:t>
      </w:r>
      <w:r>
        <w:rPr>
          <w:rStyle w:val="VerbatimChar"/>
        </w:rPr>
        <w:t xml:space="preserve">FW</w:t>
      </w:r>
      <w:r>
        <w:t xml:space="preserve">. The NYCHVS rent benchmark requires no API key; the ACS borough benchmark below requires one and it was obtained (Appendix D, item 9).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rPr>
          <w:bCs/>
          <w:b/>
        </w:rPr>
        <w:t xml:space="preserve">Borough composition against ACS renter-occupied units.</w:t>
      </w:r>
      <w:r>
        <w:t xml:space="preserve"> </w:t>
      </w:r>
      <w:r>
        <w:t xml:space="preserve">ACS 2023 5-year, table B25003, all five New York counties. NYCHVS borough shares are shown alongside as an independent check; the two sources agree to within 1.2 percentage points on every borough, which is reassuring for both.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w:t>
            </w:r>
          </w:p>
        </w:tc>
        <w:tc>
          <w:p>
            <w:pPr>
              <w:pStyle w:val="Compact"/>
              <w:jc w:val="left"/>
            </w:pPr>
            <w:r>
              <w:t xml:space="preserve">NYCHVS renter households</w:t>
            </w:r>
          </w:p>
        </w:tc>
        <w:tc>
          <w:p>
            <w:pPr>
              <w:pStyle w:val="Compact"/>
              <w:jc w:val="left"/>
            </w:pPr>
            <w:r>
              <w:t xml:space="preserve">Sample ÷ ACS</w:t>
            </w:r>
          </w:p>
        </w:tc>
      </w:tr>
      <w:tr>
        <w:tc>
          <w:p>
            <w:pPr>
              <w:pStyle w:val="Compact"/>
              <w:jc w:val="left"/>
            </w:pPr>
            <w:r>
              <w:t xml:space="preserve">Manhattan</w:t>
            </w:r>
          </w:p>
        </w:tc>
        <w:tc>
          <w:p>
            <w:pPr>
              <w:pStyle w:val="Compact"/>
              <w:jc w:val="left"/>
            </w:pPr>
            <w:r>
              <w:t xml:space="preserve">37.3%</w:t>
            </w:r>
          </w:p>
        </w:tc>
        <w:tc>
          <w:p>
            <w:pPr>
              <w:pStyle w:val="Compact"/>
              <w:jc w:val="left"/>
            </w:pPr>
            <w:r>
              <w:t xml:space="preserve">26.2%</w:t>
            </w:r>
          </w:p>
        </w:tc>
        <w:tc>
          <w:p>
            <w:pPr>
              <w:pStyle w:val="Compact"/>
              <w:jc w:val="left"/>
            </w:pPr>
            <w:r>
              <w:t xml:space="preserve">25.3%</w:t>
            </w:r>
          </w:p>
        </w:tc>
        <w:tc>
          <w:p>
            <w:pPr>
              <w:pStyle w:val="Compact"/>
              <w:jc w:val="left"/>
            </w:pPr>
            <w:r>
              <w:rPr>
                <w:bCs/>
                <w:b/>
              </w:rPr>
              <w:t xml:space="preserve">1.42×</w:t>
            </w:r>
          </w:p>
        </w:tc>
      </w:tr>
      <w:tr>
        <w:tc>
          <w:p>
            <w:pPr>
              <w:pStyle w:val="Compact"/>
              <w:jc w:val="left"/>
            </w:pPr>
            <w:r>
              <w:t xml:space="preserve">Brooklyn</w:t>
            </w:r>
          </w:p>
        </w:tc>
        <w:tc>
          <w:p>
            <w:pPr>
              <w:pStyle w:val="Compact"/>
              <w:jc w:val="left"/>
            </w:pPr>
            <w:r>
              <w:t xml:space="preserve">36.0%</w:t>
            </w:r>
          </w:p>
        </w:tc>
        <w:tc>
          <w:p>
            <w:pPr>
              <w:pStyle w:val="Compact"/>
              <w:jc w:val="left"/>
            </w:pPr>
            <w:r>
              <w:t xml:space="preserve">31.9%</w:t>
            </w:r>
          </w:p>
        </w:tc>
        <w:tc>
          <w:p>
            <w:pPr>
              <w:pStyle w:val="Compact"/>
              <w:jc w:val="left"/>
            </w:pPr>
            <w:r>
              <w:t xml:space="preserve">30.9%</w:t>
            </w:r>
          </w:p>
        </w:tc>
        <w:tc>
          <w:p>
            <w:pPr>
              <w:pStyle w:val="Compact"/>
              <w:jc w:val="left"/>
            </w:pPr>
            <w:r>
              <w:t xml:space="preserve">1.13×</w:t>
            </w:r>
          </w:p>
        </w:tc>
      </w:tr>
      <w:tr>
        <w:tc>
          <w:p>
            <w:pPr>
              <w:pStyle w:val="Compact"/>
              <w:jc w:val="left"/>
            </w:pPr>
            <w:r>
              <w:t xml:space="preserve">Queens</w:t>
            </w:r>
          </w:p>
        </w:tc>
        <w:tc>
          <w:p>
            <w:pPr>
              <w:pStyle w:val="Compact"/>
              <w:jc w:val="left"/>
            </w:pPr>
            <w:r>
              <w:t xml:space="preserve">13.5%</w:t>
            </w:r>
          </w:p>
        </w:tc>
        <w:tc>
          <w:p>
            <w:pPr>
              <w:pStyle w:val="Compact"/>
              <w:jc w:val="left"/>
            </w:pPr>
            <w:r>
              <w:t xml:space="preserve">20.5%</w:t>
            </w:r>
          </w:p>
        </w:tc>
        <w:tc>
          <w:p>
            <w:pPr>
              <w:pStyle w:val="Compact"/>
              <w:jc w:val="left"/>
            </w:pPr>
            <w:r>
              <w:t xml:space="preserve">20.8%</w:t>
            </w:r>
          </w:p>
        </w:tc>
        <w:tc>
          <w:p>
            <w:pPr>
              <w:pStyle w:val="Compact"/>
              <w:jc w:val="left"/>
            </w:pPr>
            <w:r>
              <w:rPr>
                <w:bCs/>
                <w:b/>
              </w:rPr>
              <w:t xml:space="preserve">0.66×</w:t>
            </w:r>
          </w:p>
        </w:tc>
      </w:tr>
      <w:tr>
        <w:tc>
          <w:p>
            <w:pPr>
              <w:pStyle w:val="Compact"/>
              <w:jc w:val="left"/>
            </w:pPr>
            <w:r>
              <w:t xml:space="preserve">Bronx</w:t>
            </w:r>
          </w:p>
        </w:tc>
        <w:tc>
          <w:p>
            <w:pPr>
              <w:pStyle w:val="Compact"/>
              <w:jc w:val="left"/>
            </w:pPr>
            <w:r>
              <w:t xml:space="preserve">11.7%</w:t>
            </w:r>
          </w:p>
        </w:tc>
        <w:tc>
          <w:p>
            <w:pPr>
              <w:pStyle w:val="Compact"/>
              <w:jc w:val="left"/>
            </w:pPr>
            <w:r>
              <w:t xml:space="preserve">19.0%</w:t>
            </w:r>
          </w:p>
        </w:tc>
        <w:tc>
          <w:p>
            <w:pPr>
              <w:pStyle w:val="Compact"/>
              <w:jc w:val="left"/>
            </w:pPr>
            <w:r>
              <w:t xml:space="preserve">20.1%</w:t>
            </w:r>
          </w:p>
        </w:tc>
        <w:tc>
          <w:p>
            <w:pPr>
              <w:pStyle w:val="Compact"/>
              <w:jc w:val="left"/>
            </w:pPr>
            <w:r>
              <w:rPr>
                <w:bCs/>
                <w:b/>
              </w:rPr>
              <w:t xml:space="preserve">0.62×</w:t>
            </w:r>
          </w:p>
        </w:tc>
      </w:tr>
      <w:tr>
        <w:tc>
          <w:p>
            <w:pPr>
              <w:pStyle w:val="Compact"/>
              <w:jc w:val="left"/>
            </w:pPr>
            <w:r>
              <w:t xml:space="preserve">Staten Island</w:t>
            </w:r>
          </w:p>
        </w:tc>
        <w:tc>
          <w:p>
            <w:pPr>
              <w:pStyle w:val="Compact"/>
              <w:jc w:val="left"/>
            </w:pPr>
            <w:r>
              <w:t xml:space="preserve">1.6%</w:t>
            </w:r>
          </w:p>
        </w:tc>
        <w:tc>
          <w:p>
            <w:pPr>
              <w:pStyle w:val="Compact"/>
              <w:jc w:val="left"/>
            </w:pPr>
            <w:r>
              <w:t xml:space="preserve">2.4%</w:t>
            </w:r>
          </w:p>
        </w:tc>
        <w:tc>
          <w:p>
            <w:pPr>
              <w:pStyle w:val="Compact"/>
              <w:jc w:val="left"/>
            </w:pPr>
            <w:r>
              <w:t xml:space="preserve">2.9%</w:t>
            </w:r>
          </w:p>
        </w:tc>
        <w:tc>
          <w:p>
            <w:pPr>
              <w:pStyle w:val="Compact"/>
              <w:jc w:val="left"/>
            </w:pPr>
            <w:r>
              <w:t xml:space="preserve">0.67×</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2,226,896 units</w:t>
            </w:r>
          </w:p>
        </w:tc>
        <w:tc>
          <w:p>
            <w:pPr>
              <w:pStyle w:val="Compact"/>
              <w:jc w:val="left"/>
            </w:pPr>
            <w:r>
              <w:t xml:space="preserve">2,026,023 households</w:t>
            </w:r>
          </w:p>
        </w:tc>
        <w:tc>
          <w:p>
            <w:pPr>
              <w:pStyle w:val="Compact"/>
              <w:jc w:val="left"/>
            </w:pPr>
            <w:r>
              <w:t xml:space="preserve">—</w:t>
            </w:r>
          </w:p>
        </w:tc>
      </w:tr>
    </w:tbl>
    <w:p>
      <w:pPr>
        <w:pStyle w:val="BodyText"/>
      </w:pPr>
      <w:r>
        <w:t xml:space="preserve">Manhattan is over-represented by roughly half again, and the Bronx, Queens and Staten Island are each under-represented by a third or more. The composition bias therefore runs in the same direction as the rent bias and compounds it: the sample is drawn disproportionately from the most expensive borough, and within that borough from the upper deciles. Table 2b is now complete.</w:t>
      </w:r>
    </w:p>
    <w:bookmarkEnd w:id="38"/>
    <w:bookmarkStart w:id="40"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39"/>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0"/>
    <w:bookmarkEnd w:id="41"/>
    <w:bookmarkStart w:id="46"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2"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2"/>
    <w:bookmarkStart w:id="43"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tract median household income, median gross rent, rent burden, renter share, and racial and ethnic composition. For each response we take the recommended listings, resolve each to its census tract, and summarise the set by the median tract value. The identity contrast is the within-scenario difference against the neutral baseline, using the same estimand and the same randomization procedure as every other outcome (§7.2). This is the measure that connects our results to the steering literature and permits comparison with Liu et al. (2024) and Samad et al. (2026), subject to the design limit stated in §8.11. Reported in §8.11 (Tables 22–24).</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3"/>
    <w:bookmarkStart w:id="44"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4"/>
    <w:bookmarkStart w:id="45"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5"/>
    <w:bookmarkEnd w:id="46"/>
    <w:bookmarkStart w:id="53" w:name="statistical-analysis"/>
    <w:p>
      <w:pPr>
        <w:pStyle w:val="Heading2"/>
      </w:pPr>
      <w:r>
        <w:t xml:space="preserve">7. Statistical Analysis</w:t>
      </w:r>
    </w:p>
    <w:bookmarkStart w:id="47"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(6,120). We state this explicitly because treating calls as independent observations is the characteristic inferential error of large-scale LLM audits.</w:t>
      </w:r>
    </w:p>
    <w:bookmarkEnd w:id="47"/>
    <w:bookmarkStart w:id="48"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8"/>
    <w:bookmarkStart w:id="49"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49"/>
    <w:bookmarkStart w:id="50"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0"/>
    <w:bookmarkStart w:id="51"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1"/>
    <w:bookmarkStart w:id="52"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2"/>
    <w:bookmarkEnd w:id="53"/>
    <w:bookmarkStart w:id="68"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5"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5"/>
    <w:bookmarkStart w:id="57"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6"/>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7"/>
    <w:bookmarkStart w:id="58"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8"/>
    <w:bookmarkStart w:id="59"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59"/>
    <w:bookmarkStart w:id="60"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0"/>
    <w:bookmarkStart w:id="61"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1"/>
    <w:bookmarkStart w:id="62"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2"/>
    <w:bookmarkStart w:id="63"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3"/>
    <w:bookmarkStart w:id="64"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4"/>
    <w:bookmarkStart w:id="66"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5"/>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6"/>
    <w:bookmarkStart w:id="67" w:name="X21e9dc880403960a815c9b4c77b697bc0833efb"/>
    <w:p>
      <w:pPr>
        <w:pStyle w:val="Heading3"/>
      </w:pPr>
      <w:r>
        <w:t xml:space="preserve">8.11 Neighborhood exposure (S3) — no detectable identity conditioning</w:t>
      </w:r>
    </w:p>
    <w:p>
      <w:pPr>
        <w:pStyle w:val="FirstParagraph"/>
      </w:pPr>
      <w:r>
        <w:t xml:space="preserve">This is the measure that speaks to the steering literature, and it was the largest gap in earlier versions of this paper. ACS 2023 5-year covariates were retrieved for all 2,327 New York tracts (§5.3); 99.5% of listings resolve to a tract with a non-suppressed income estimate. For each of the</w:t>
      </w:r>
      <w:r>
        <w:t xml:space="preserve"> </w:t>
      </w:r>
      <w:r>
        <w:rPr>
          <w:bCs/>
          <w:b/>
        </w:rPr>
        <w:t xml:space="preserve">6,631</w:t>
      </w:r>
      <w:r>
        <w:t xml:space="preserve"> </w:t>
      </w:r>
      <w:r>
        <w:t xml:space="preserve">parsed responses we resolve the five recommended listings to their tracts and summarise the recommended set by its median tract value.</w:t>
      </w:r>
    </w:p>
    <w:p>
      <w:pPr>
        <w:pStyle w:val="BodyText"/>
      </w:pPr>
      <w:r>
        <w:rPr>
          <w:bCs/>
          <w:b/>
        </w:rPr>
        <w:t xml:space="preserve">Table 22. Median tract characteristics of recommended listings by identity condition</w:t>
      </w:r>
      <w:r>
        <w:t xml:space="preserve"> </w:t>
      </w:r>
      <w:r>
        <w:t xml:space="preserve">(</w:t>
      </w:r>
      <w:r>
        <w:rPr>
          <w:rStyle w:val="VerbatimChar"/>
        </w:rPr>
        <w:t xml:space="preserve">gpt-5.6-luna</w:t>
      </w:r>
      <w:r>
        <w:t xml:space="preserve">, S1 direct, 150 scenarios × 3 replicates).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Condition</w:t>
            </w:r>
          </w:p>
        </w:tc>
        <w:tc>
          <w:p>
            <w:pPr>
              <w:pStyle w:val="Compact"/>
              <w:jc w:val="left"/>
            </w:pPr>
            <w:r>
              <w:t xml:space="preserve">Tract median HH income</w:t>
            </w:r>
          </w:p>
        </w:tc>
        <w:tc>
          <w:p>
            <w:pPr>
              <w:pStyle w:val="Compact"/>
              <w:jc w:val="left"/>
            </w:pPr>
            <w:r>
              <w:t xml:space="preserve">Tract median gross rent</w:t>
            </w:r>
          </w:p>
        </w:tc>
        <w:tc>
          <w:p>
            <w:pPr>
              <w:pStyle w:val="Compact"/>
              <w:jc w:val="left"/>
            </w:pPr>
            <w:r>
              <w:t xml:space="preserve">Rent burden (%)</w:t>
            </w:r>
          </w:p>
        </w:tc>
        <w:tc>
          <w:p>
            <w:pPr>
              <w:pStyle w:val="Compact"/>
              <w:jc w:val="left"/>
            </w:pPr>
            <w:r>
              <w:t xml:space="preserve">Renter share</w:t>
            </w:r>
          </w:p>
        </w:tc>
        <w:tc>
          <w:p>
            <w:pPr>
              <w:pStyle w:val="Compact"/>
              <w:jc w:val="left"/>
            </w:pPr>
            <w:r>
              <w:t xml:space="preserve">Share non-White</w:t>
            </w:r>
          </w:p>
        </w:tc>
        <w:tc>
          <w:p>
            <w:pPr>
              <w:pStyle w:val="Compact"/>
              <w:jc w:val="left"/>
            </w:pPr>
            <w:r>
              <w:t xml:space="preserve">Share Black</w:t>
            </w:r>
          </w:p>
        </w:tc>
        <w:tc>
          <w:p>
            <w:pPr>
              <w:pStyle w:val="Compact"/>
              <w:jc w:val="left"/>
            </w:pPr>
            <w:r>
              <w:t xml:space="preserve">Share Hispanic</w:t>
            </w:r>
          </w:p>
        </w:tc>
      </w:tr>
      <w:tr>
        <w:tc>
          <w:p>
            <w:pPr>
              <w:pStyle w:val="Compact"/>
              <w:jc w:val="left"/>
            </w:pPr>
            <w:r>
              <w:t xml:space="preserve">C0 neutral</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0.378</w:t>
            </w:r>
          </w:p>
        </w:tc>
        <w:tc>
          <w:p>
            <w:pPr>
              <w:pStyle w:val="Compact"/>
              <w:jc w:val="left"/>
            </w:pPr>
            <w:r>
              <w:t xml:space="preserve">0.042</w:t>
            </w:r>
          </w:p>
        </w:tc>
        <w:tc>
          <w:p>
            <w:pPr>
              <w:pStyle w:val="Compact"/>
              <w:jc w:val="left"/>
            </w:pPr>
            <w:r>
              <w:t xml:space="preserve">0.096</w:t>
            </w:r>
          </w:p>
        </w:tc>
      </w:tr>
      <w:tr>
        <w:tc>
          <w:p>
            <w:pPr>
              <w:pStyle w:val="Compact"/>
              <w:jc w:val="left"/>
            </w:pPr>
            <w:r>
              <w:t xml:space="preserve">C1 name A</w:t>
            </w:r>
          </w:p>
        </w:tc>
        <w:tc>
          <w:p>
            <w:pPr>
              <w:pStyle w:val="Compact"/>
              <w:jc w:val="left"/>
            </w:pPr>
            <w:r>
              <w:t xml:space="preserve">$158,125</w:t>
            </w:r>
          </w:p>
        </w:tc>
        <w:tc>
          <w:p>
            <w:pPr>
              <w:pStyle w:val="Compact"/>
              <w:jc w:val="left"/>
            </w:pPr>
            <w:r>
              <w:t xml:space="preserve">$2,911</w:t>
            </w:r>
          </w:p>
        </w:tc>
        <w:tc>
          <w:p>
            <w:pPr>
              <w:pStyle w:val="Compact"/>
              <w:jc w:val="left"/>
            </w:pPr>
            <w:r>
              <w:t xml:space="preserve">27.2</w:t>
            </w:r>
          </w:p>
        </w:tc>
        <w:tc>
          <w:p>
            <w:pPr>
              <w:pStyle w:val="Compact"/>
              <w:jc w:val="left"/>
            </w:pPr>
            <w:r>
              <w:t xml:space="preserve">0.837</w:t>
            </w:r>
          </w:p>
        </w:tc>
        <w:tc>
          <w:p>
            <w:pPr>
              <w:pStyle w:val="Compact"/>
              <w:jc w:val="left"/>
            </w:pPr>
            <w:r>
              <w:t xml:space="preserve">0.379</w:t>
            </w:r>
          </w:p>
        </w:tc>
        <w:tc>
          <w:p>
            <w:pPr>
              <w:pStyle w:val="Compact"/>
              <w:jc w:val="left"/>
            </w:pPr>
            <w:r>
              <w:t xml:space="preserve">0.047</w:t>
            </w:r>
          </w:p>
        </w:tc>
        <w:tc>
          <w:p>
            <w:pPr>
              <w:pStyle w:val="Compact"/>
              <w:jc w:val="left"/>
            </w:pPr>
            <w:r>
              <w:t xml:space="preserve">0.096</w:t>
            </w:r>
          </w:p>
        </w:tc>
      </w:tr>
      <w:tr>
        <w:tc>
          <w:p>
            <w:pPr>
              <w:pStyle w:val="Compact"/>
              <w:jc w:val="left"/>
            </w:pPr>
            <w:r>
              <w:t xml:space="preserve">C2 name B</w:t>
            </w:r>
          </w:p>
        </w:tc>
        <w:tc>
          <w:p>
            <w:pPr>
              <w:pStyle w:val="Compact"/>
              <w:jc w:val="left"/>
            </w:pPr>
            <w:r>
              <w:t xml:space="preserve">$159,605</w:t>
            </w:r>
          </w:p>
        </w:tc>
        <w:tc>
          <w:p>
            <w:pPr>
              <w:pStyle w:val="Compact"/>
              <w:jc w:val="left"/>
            </w:pPr>
            <w:r>
              <w:t xml:space="preserve">$3,106</w:t>
            </w:r>
          </w:p>
        </w:tc>
        <w:tc>
          <w:p>
            <w:pPr>
              <w:pStyle w:val="Compact"/>
              <w:jc w:val="left"/>
            </w:pPr>
            <w:r>
              <w:t xml:space="preserve">27.2</w:t>
            </w:r>
          </w:p>
        </w:tc>
        <w:tc>
          <w:p>
            <w:pPr>
              <w:pStyle w:val="Compact"/>
              <w:jc w:val="left"/>
            </w:pPr>
            <w:r>
              <w:t xml:space="preserve">0.837</w:t>
            </w:r>
          </w:p>
        </w:tc>
        <w:tc>
          <w:p>
            <w:pPr>
              <w:pStyle w:val="Compact"/>
              <w:jc w:val="left"/>
            </w:pPr>
            <w:r>
              <w:t xml:space="preserve">0.384</w:t>
            </w:r>
          </w:p>
        </w:tc>
        <w:tc>
          <w:p>
            <w:pPr>
              <w:pStyle w:val="Compact"/>
              <w:jc w:val="left"/>
            </w:pPr>
            <w:r>
              <w:t xml:space="preserve">0.047</w:t>
            </w:r>
          </w:p>
        </w:tc>
        <w:tc>
          <w:p>
            <w:pPr>
              <w:pStyle w:val="Compact"/>
              <w:jc w:val="left"/>
            </w:pPr>
            <w:r>
              <w:t xml:space="preserve">0.096</w:t>
            </w:r>
          </w:p>
        </w:tc>
      </w:tr>
      <w:tr>
        <w:tc>
          <w:p>
            <w:pPr>
              <w:pStyle w:val="Compact"/>
              <w:jc w:val="left"/>
            </w:pPr>
            <w:r>
              <w:t xml:space="preserve">C3 voucher</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0.383</w:t>
            </w:r>
          </w:p>
        </w:tc>
        <w:tc>
          <w:p>
            <w:pPr>
              <w:pStyle w:val="Compact"/>
              <w:jc w:val="left"/>
            </w:pPr>
            <w:r>
              <w:t xml:space="preserve">0.042</w:t>
            </w:r>
          </w:p>
        </w:tc>
        <w:tc>
          <w:p>
            <w:pPr>
              <w:pStyle w:val="Compact"/>
              <w:jc w:val="left"/>
            </w:pPr>
            <w:r>
              <w:t xml:space="preserve">0.096</w:t>
            </w:r>
          </w:p>
        </w:tc>
      </w:tr>
    </w:tbl>
    <w:p>
      <w:pPr>
        <w:pStyle w:val="BodyText"/>
      </w:pPr>
      <w:r>
        <w:t xml:space="preserve">The columns are nearly constant. Rent burden and renter share are identical to three decimals across all four conditions, and Hispanic share is identical to three decimals.</w:t>
      </w:r>
    </w:p>
    <w:p>
      <w:pPr>
        <w:pStyle w:val="BodyText"/>
      </w:pPr>
      <w:r>
        <w:rPr>
          <w:bCs/>
          <w:b/>
        </w:rPr>
        <w:t xml:space="preserve">Table 23. Within-scenario identity contrasts on tract characteristics.</w:t>
      </w:r>
      <w:r>
        <w:t xml:space="preserve"> </w:t>
      </w:r>
      <w:r>
        <w:t xml:space="preserve">105 contrasts: 3 identity conditions × 7 outcomes × 5 model-architecture arms. Inference by 10,000 within-scenario sign-flip permutations, Benjamini–Hochberg across the family.</w:t>
      </w:r>
    </w:p>
    <w:tbl>
      <w:tblPr>
        <w:tblStyle w:val="Table"/>
        <w:tblW w:type="pct" w:w="5000.0"/>
        <w:tblLook w:firstRow="0" w:lastRow="0" w:firstColumn="0" w:lastColumn="0" w:noHBand="0" w:noVBand="0" w:val="0000"/>
      </w:tblPr>
      <w:tblGrid>
        <w:gridCol w:w="3960"/>
        <w:gridCol w:w="3960"/>
      </w:tblGrid>
      <w:tr>
        <w:tc>
          <w:p>
            <w:pPr>
              <w:pStyle w:val="Compact"/>
              <w:jc w:val="left"/>
            </w:pPr>
            <w:r>
              <w:t xml:space="preserve">Contrasts tested</w:t>
            </w:r>
          </w:p>
        </w:tc>
        <w:tc>
          <w:p>
            <w:pPr>
              <w:pStyle w:val="Compact"/>
              <w:jc w:val="left"/>
            </w:pPr>
            <w:r>
              <w:t xml:space="preserve">105</w:t>
            </w:r>
          </w:p>
        </w:tc>
      </w:tr>
      <w:tr>
        <w:tc>
          <w:p>
            <w:pPr>
              <w:pStyle w:val="Compact"/>
              <w:jc w:val="left"/>
            </w:pPr>
            <w:r>
              <w:t xml:space="preserve">Significant after BH at 0.05</w:t>
            </w:r>
          </w:p>
        </w:tc>
        <w:tc>
          <w:p>
            <w:pPr>
              <w:pStyle w:val="Compact"/>
              <w:jc w:val="left"/>
            </w:pPr>
            <w:r>
              <w:rPr>
                <w:bCs/>
                <w:b/>
              </w:rPr>
              <w:t xml:space="preserve">0</w:t>
            </w:r>
          </w:p>
        </w:tc>
      </w:tr>
      <w:tr>
        <w:tc>
          <w:p>
            <w:pPr>
              <w:pStyle w:val="Compact"/>
              <w:jc w:val="left"/>
            </w:pPr>
            <w:r>
              <w:t xml:space="preserve">Smallest raw</w:t>
            </w:r>
            <w:r>
              <w:t xml:space="preserve"> </w:t>
            </w:r>
            <w:r>
              <w:rPr>
                <w:iCs/>
                <w:i/>
              </w:rPr>
              <w:t xml:space="preserve">p</w:t>
            </w:r>
          </w:p>
        </w:tc>
        <w:tc>
          <w:p>
            <w:pPr>
              <w:pStyle w:val="Compact"/>
              <w:jc w:val="left"/>
            </w:pPr>
            <w:r>
              <w:t xml:space="preserve">0.0015 (</w:t>
            </w:r>
            <w:r>
              <w:rPr>
                <w:rStyle w:val="VerbatimChar"/>
              </w:rPr>
              <w:t xml:space="preserve">claude-opus-5</w:t>
            </w:r>
            <w:r>
              <w:t xml:space="preserve">, C3 voucher, share non-White, +2.15 pp)</w:t>
            </w:r>
          </w:p>
        </w:tc>
      </w:tr>
      <w:tr>
        <w:tc>
          <w:p>
            <w:pPr>
              <w:pStyle w:val="Compact"/>
              <w:jc w:val="left"/>
            </w:pPr>
            <w:r>
              <w:t xml:space="preserve">Corresponding BH-adjusted</w:t>
            </w:r>
            <w:r>
              <w:t xml:space="preserve"> </w:t>
            </w:r>
            <w:r>
              <w:rPr>
                <w:iCs/>
                <w:i/>
              </w:rPr>
              <w:t xml:space="preserve">p</w:t>
            </w:r>
          </w:p>
        </w:tc>
        <w:tc>
          <w:p>
            <w:pPr>
              <w:pStyle w:val="Compact"/>
              <w:jc w:val="left"/>
            </w:pPr>
            <w:r>
              <w:t xml:space="preserve">0.158</w:t>
            </w:r>
          </w:p>
        </w:tc>
      </w:tr>
    </w:tbl>
    <w:p>
      <w:pPr>
        <w:pStyle w:val="BodyText"/>
      </w:pPr>
      <w:r>
        <w:rPr>
          <w:bCs/>
          <w:b/>
        </w:rPr>
        <w:t xml:space="preserve">Table 24. Variance decomposition for S3</w:t>
      </w:r>
      <w:r>
        <w:t xml:space="preserve"> </w:t>
      </w:r>
      <w:r>
        <w:t xml:space="preserve">(</w:t>
      </w:r>
      <w:r>
        <w:rPr>
          <w:rStyle w:val="VerbatimChar"/>
        </w:rPr>
        <w:t xml:space="preserve">gpt-5.6-luna</w:t>
      </w:r>
      <w:r>
        <w:t xml:space="preserve">, S1). The pre-specified rule of §7.4 is that where within-cell replicate variance exceeds between-condition variance, we report no effect regardless of any individual</w:t>
      </w:r>
      <w:r>
        <w:t xml:space="preserve"> </w:t>
      </w:r>
      <w:r>
        <w:rPr>
          <w:iCs/>
          <w:i/>
        </w:rPr>
        <w:t xml:space="preserve">p</w:t>
      </w:r>
      <w:r>
        <w:t xml:space="preserve">-value.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Ratio</w:t>
            </w:r>
          </w:p>
        </w:tc>
      </w:tr>
      <w:tr>
        <w:tc>
          <w:p>
            <w:pPr>
              <w:pStyle w:val="Compact"/>
              <w:jc w:val="left"/>
            </w:pPr>
            <w:r>
              <w:t xml:space="preserve">Tract median HH income</w:t>
            </w:r>
          </w:p>
        </w:tc>
        <w:tc>
          <w:p>
            <w:pPr>
              <w:pStyle w:val="Compact"/>
              <w:jc w:val="left"/>
            </w:pPr>
            <w:r>
              <w:t xml:space="preserve">1.22 × 10⁸</w:t>
            </w:r>
          </w:p>
        </w:tc>
        <w:tc>
          <w:p>
            <w:pPr>
              <w:pStyle w:val="Compact"/>
              <w:jc w:val="left"/>
            </w:pPr>
            <w:r>
              <w:t xml:space="preserve">2.83 × 10⁸</w:t>
            </w:r>
          </w:p>
        </w:tc>
        <w:tc>
          <w:p>
            <w:pPr>
              <w:pStyle w:val="Compact"/>
              <w:jc w:val="left"/>
            </w:pPr>
            <w:r>
              <w:t xml:space="preserve">0.43</w:t>
            </w:r>
          </w:p>
        </w:tc>
      </w:tr>
      <w:tr>
        <w:tc>
          <w:p>
            <w:pPr>
              <w:pStyle w:val="Compact"/>
              <w:jc w:val="left"/>
            </w:pPr>
            <w:r>
              <w:t xml:space="preserve">Tract median gross rent</w:t>
            </w:r>
          </w:p>
        </w:tc>
        <w:tc>
          <w:p>
            <w:pPr>
              <w:pStyle w:val="Compact"/>
              <w:jc w:val="left"/>
            </w:pPr>
            <w:r>
              <w:t xml:space="preserve">2.92 × 10⁴</w:t>
            </w:r>
          </w:p>
        </w:tc>
        <w:tc>
          <w:p>
            <w:pPr>
              <w:pStyle w:val="Compact"/>
              <w:jc w:val="left"/>
            </w:pPr>
            <w:r>
              <w:t xml:space="preserve">7.23 × 10⁴</w:t>
            </w:r>
          </w:p>
        </w:tc>
        <w:tc>
          <w:p>
            <w:pPr>
              <w:pStyle w:val="Compact"/>
              <w:jc w:val="left"/>
            </w:pPr>
            <w:r>
              <w:t xml:space="preserve">0.40</w:t>
            </w:r>
          </w:p>
        </w:tc>
      </w:tr>
      <w:tr>
        <w:tc>
          <w:p>
            <w:pPr>
              <w:pStyle w:val="Compact"/>
              <w:jc w:val="left"/>
            </w:pPr>
            <w:r>
              <w:t xml:space="preserve">Rent burden</w:t>
            </w:r>
          </w:p>
        </w:tc>
        <w:tc>
          <w:p>
            <w:pPr>
              <w:pStyle w:val="Compact"/>
              <w:jc w:val="left"/>
            </w:pPr>
            <w:r>
              <w:t xml:space="preserve">0.357</w:t>
            </w:r>
          </w:p>
        </w:tc>
        <w:tc>
          <w:p>
            <w:pPr>
              <w:pStyle w:val="Compact"/>
              <w:jc w:val="left"/>
            </w:pPr>
            <w:r>
              <w:t xml:space="preserve">0.901</w:t>
            </w:r>
          </w:p>
        </w:tc>
        <w:tc>
          <w:p>
            <w:pPr>
              <w:pStyle w:val="Compact"/>
              <w:jc w:val="left"/>
            </w:pPr>
            <w:r>
              <w:t xml:space="preserve">0.40</w:t>
            </w:r>
          </w:p>
        </w:tc>
      </w:tr>
      <w:tr>
        <w:tc>
          <w:p>
            <w:pPr>
              <w:pStyle w:val="Compact"/>
              <w:jc w:val="left"/>
            </w:pPr>
            <w:r>
              <w:t xml:space="preserve">Renter share</w:t>
            </w:r>
          </w:p>
        </w:tc>
        <w:tc>
          <w:p>
            <w:pPr>
              <w:pStyle w:val="Compact"/>
              <w:jc w:val="left"/>
            </w:pPr>
            <w:r>
              <w:t xml:space="preserve">6.07 × 10⁻⁴</w:t>
            </w:r>
          </w:p>
        </w:tc>
        <w:tc>
          <w:p>
            <w:pPr>
              <w:pStyle w:val="Compact"/>
              <w:jc w:val="left"/>
            </w:pPr>
            <w:r>
              <w:t xml:space="preserve">2.01 × 10⁻³</w:t>
            </w:r>
          </w:p>
        </w:tc>
        <w:tc>
          <w:p>
            <w:pPr>
              <w:pStyle w:val="Compact"/>
              <w:jc w:val="left"/>
            </w:pPr>
            <w:r>
              <w:t xml:space="preserve">0.30</w:t>
            </w:r>
          </w:p>
        </w:tc>
      </w:tr>
      <w:tr>
        <w:tc>
          <w:p>
            <w:pPr>
              <w:pStyle w:val="Compact"/>
              <w:jc w:val="left"/>
            </w:pPr>
            <w:r>
              <w:t xml:space="preserve">Share non-White</w:t>
            </w:r>
          </w:p>
        </w:tc>
        <w:tc>
          <w:p>
            <w:pPr>
              <w:pStyle w:val="Compact"/>
              <w:jc w:val="left"/>
            </w:pPr>
            <w:r>
              <w:t xml:space="preserve">1.68 × 10⁻³</w:t>
            </w:r>
          </w:p>
        </w:tc>
        <w:tc>
          <w:p>
            <w:pPr>
              <w:pStyle w:val="Compact"/>
              <w:jc w:val="left"/>
            </w:pPr>
            <w:r>
              <w:t xml:space="preserve">4.13 × 10⁻³</w:t>
            </w:r>
          </w:p>
        </w:tc>
        <w:tc>
          <w:p>
            <w:pPr>
              <w:pStyle w:val="Compact"/>
              <w:jc w:val="left"/>
            </w:pPr>
            <w:r>
              <w:t xml:space="preserve">0.41</w:t>
            </w:r>
          </w:p>
        </w:tc>
      </w:tr>
      <w:tr>
        <w:tc>
          <w:p>
            <w:pPr>
              <w:pStyle w:val="Compact"/>
              <w:jc w:val="left"/>
            </w:pPr>
            <w:r>
              <w:t xml:space="preserve">Share Black</w:t>
            </w:r>
          </w:p>
        </w:tc>
        <w:tc>
          <w:p>
            <w:pPr>
              <w:pStyle w:val="Compact"/>
              <w:jc w:val="left"/>
            </w:pPr>
            <w:r>
              <w:t xml:space="preserve">5.59 × 10⁻⁴</w:t>
            </w:r>
          </w:p>
        </w:tc>
        <w:tc>
          <w:p>
            <w:pPr>
              <w:pStyle w:val="Compact"/>
              <w:jc w:val="left"/>
            </w:pPr>
            <w:r>
              <w:t xml:space="preserve">1.55 × 10⁻³</w:t>
            </w:r>
          </w:p>
        </w:tc>
        <w:tc>
          <w:p>
            <w:pPr>
              <w:pStyle w:val="Compact"/>
              <w:jc w:val="left"/>
            </w:pPr>
            <w:r>
              <w:t xml:space="preserve">0.36</w:t>
            </w:r>
          </w:p>
        </w:tc>
      </w:tr>
      <w:tr>
        <w:tc>
          <w:p>
            <w:pPr>
              <w:pStyle w:val="Compact"/>
              <w:jc w:val="left"/>
            </w:pPr>
            <w:r>
              <w:t xml:space="preserve">Share Hispanic</w:t>
            </w:r>
          </w:p>
        </w:tc>
        <w:tc>
          <w:p>
            <w:pPr>
              <w:pStyle w:val="Compact"/>
              <w:jc w:val="left"/>
            </w:pPr>
            <w:r>
              <w:t xml:space="preserve">5.37 × 10⁻⁴</w:t>
            </w:r>
          </w:p>
        </w:tc>
        <w:tc>
          <w:p>
            <w:pPr>
              <w:pStyle w:val="Compact"/>
              <w:jc w:val="left"/>
            </w:pPr>
            <w:r>
              <w:t xml:space="preserve">8.22 × 10⁻⁴</w:t>
            </w:r>
          </w:p>
        </w:tc>
        <w:tc>
          <w:p>
            <w:pPr>
              <w:pStyle w:val="Compact"/>
              <w:jc w:val="left"/>
            </w:pPr>
            <w:r>
              <w:t xml:space="preserve">0.65</w:t>
            </w:r>
          </w:p>
        </w:tc>
      </w:tr>
    </w:tbl>
    <w:p>
      <w:pPr>
        <w:pStyle w:val="BodyText"/>
      </w:pPr>
      <w:r>
        <w:t xml:space="preserve">Replicate noise dominates for</w:t>
      </w:r>
      <w:r>
        <w:t xml:space="preserve"> </w:t>
      </w:r>
      <w:r>
        <w:rPr>
          <w:bCs/>
          <w:b/>
        </w:rPr>
        <w:t xml:space="preserve">all seven</w:t>
      </w:r>
      <w:r>
        <w:t xml:space="preserve"> </w:t>
      </w:r>
      <w:r>
        <w:t xml:space="preserve">outcomes. Under our pre-specified rule we therefore report</w:t>
      </w:r>
      <w:r>
        <w:t xml:space="preserve"> </w:t>
      </w:r>
      <w:r>
        <w:rPr>
          <w:bCs/>
          <w:b/>
        </w:rPr>
        <w:t xml:space="preserve">no identity-conditioned effect on neighborhood exposure</w:t>
      </w:r>
      <w:r>
        <w:t xml:space="preserve">, and the BH nulls agree.</w:t>
      </w:r>
    </w:p>
    <w:p>
      <w:pPr>
        <w:pStyle w:val="BodyText"/>
      </w:pPr>
      <w:r>
        <w:rPr>
          <w:bCs/>
          <w:b/>
        </w:rPr>
        <w:t xml:space="preserve">One direction is worth recording without claiming it.</w:t>
      </w:r>
      <w:r>
        <w:t xml:space="preserve"> </w:t>
      </w:r>
      <w:r>
        <w:t xml:space="preserve">The three smallest raw</w:t>
      </w:r>
      <w:r>
        <w:t xml:space="preserve"> </w:t>
      </w:r>
      <w:r>
        <w:rPr>
          <w:iCs/>
          <w:i/>
        </w:rPr>
        <w:t xml:space="preserve">p</w:t>
      </w:r>
      <w:r>
        <w:t xml:space="preserve">-values all involve the voucher condition, and on</w:t>
      </w:r>
      <w:r>
        <w:t xml:space="preserve"> </w:t>
      </w:r>
      <w:r>
        <w:rPr>
          <w:rStyle w:val="VerbatimChar"/>
        </w:rPr>
        <w:t xml:space="preserve">claude-opus-5</w:t>
      </w:r>
      <w:r>
        <w:t xml:space="preserve"> </w:t>
      </w:r>
      <w:r>
        <w:t xml:space="preserve">voucher disclosure is associated with recommendations in tracts that are 2.15 percentage points more non-White and $5,937 lower in median household income. This is the direction the steering literature would predict, and it is coherent with the one non-null in §8.4 — voucher disclosure lowering Claude’s rent gap by $27.60 — since cheaper listings in our sample sit in lower-income tracts. But it does not survive correction for 105 tests, it falls below replicate noise under §7.4, and the magnitudes are small against a between-tract standard deviation of $42,443 in median income. We report it as an observation warranting targeted replication with the voucher contrast as the single pre-specified hypothesis, which is the design that could actually test it. We do not report it as a finding.</w:t>
      </w:r>
    </w:p>
    <w:p>
      <w:pPr>
        <w:pStyle w:val="BodyText"/>
      </w:pPr>
      <w:r>
        <w:rPr>
          <w:bCs/>
          <w:b/>
        </w:rPr>
        <w:t xml:space="preserve">What this null does and does not license.</w:t>
      </w:r>
      <w:r>
        <w:t xml:space="preserve"> </w:t>
      </w:r>
      <w:r>
        <w:t xml:space="preserve">It licenses a narrow claim: when the candidate set is fixed and the model can only re-rank it, an identity cue does not measurably shift the neighborhood composition of what is returned. It does</w:t>
      </w:r>
      <w:r>
        <w:t xml:space="preserve"> </w:t>
      </w:r>
      <w:r>
        <w:rPr>
          <w:bCs/>
          <w:b/>
        </w:rPr>
        <w:t xml:space="preserve">not</w:t>
      </w:r>
      <w:r>
        <w:t xml:space="preserve"> </w:t>
      </w:r>
      <w:r>
        <w:t xml:space="preserve">license the claim that these models do not steer. Our design removes retrieval by construction — the model never chooses where to look, which is precisely the choice Liu et al. (2024) and Samad et al. (2026) found to be identity-conditioned. Their finding and ours are compatible: steering may operate at the retrieval and geographic-framing stage that we hold fixed, and be absent at the ranking stage that we isolate. Establishing that would require an open-ended arm in which the model proposes neighborhoods before any pool exists, which we did not run (§9.4).</w:t>
      </w:r>
    </w:p>
    <w:p>
      <w:pPr>
        <w:pStyle w:val="BodyText"/>
      </w:pPr>
      <w:r>
        <w:t xml:space="preserve">A further limit is the sample itself. The recommended tracts have a median household income near $158,000 and a non-White share of 0.378, against tract medians across New York of $81,982 and 0.76 (§5.3). Our pool is drawn from an unrepresentative slice of the city (Table 2b), so the</w:t>
      </w:r>
      <w:r>
        <w:t xml:space="preserve"> </w:t>
      </w:r>
      <w:r>
        <w:rPr>
          <w:iCs/>
          <w:i/>
        </w:rPr>
        <w:t xml:space="preserve">range</w:t>
      </w:r>
      <w:r>
        <w:t xml:space="preserve"> </w:t>
      </w:r>
      <w:r>
        <w:t xml:space="preserve">of neighborhood variation available to be steered across is compressed relative to the true market. A null on compressed variation is weaker evidence than a null on full variation, and we do not treat the two as equivalent.</w:t>
      </w:r>
    </w:p>
    <w:bookmarkEnd w:id="67"/>
    <w:bookmarkEnd w:id="68"/>
    <w:bookmarkStart w:id="74" w:name="discussion-and-recommendations"/>
    <w:p>
      <w:pPr>
        <w:pStyle w:val="Heading2"/>
      </w:pPr>
      <w:r>
        <w:t xml:space="preserve">9. Discussion and Recommendations</w:t>
      </w:r>
    </w:p>
    <w:bookmarkStart w:id="69"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69"/>
    <w:bookmarkStart w:id="70"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70"/>
    <w:bookmarkStart w:id="71"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1"/>
    <w:bookmarkStart w:id="72"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2"/>
    <w:bookmarkStart w:id="73"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3"/>
    <w:bookmarkEnd w:id="74"/>
    <w:bookmarkStart w:id="75"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C1/C2 is a joint race-and-class cue, not a clean race cue.</w:t>
      </w:r>
      <w:r>
        <w:t xml:space="preserve"> </w:t>
      </w:r>
      <w:r>
        <w:t xml:space="preserve">A name signals race and social class simultaneously (Gaddis, 2017; Crabtree et al., 2022). Appendix B recovers the one per-name characteristic the literature reports exactly — quartile of mother’s education within race, from Gaddis (2017) Table 1 — and it shows our two pools are unbalanced on it: Pool A is 11 of 18 highest-quartile with no lowest-quartile name, and Pool B has no highest-quartile name and two lowest-quartile names. Per-name</w:t>
      </w:r>
      <w:r>
        <w:t xml:space="preserve"> </w:t>
      </w:r>
      <w:r>
        <w:rPr>
          <w:iCs/>
          <w:i/>
        </w:rPr>
        <w:t xml:space="preserve">perceived</w:t>
      </w:r>
      <w:r>
        <w:t xml:space="preserve"> </w:t>
      </w:r>
      <w:r>
        <w:t xml:space="preserve">race and</w:t>
      </w:r>
      <w:r>
        <w:t xml:space="preserve"> </w:t>
      </w:r>
      <w:r>
        <w:rPr>
          <w:iCs/>
          <w:i/>
        </w:rPr>
        <w:t xml:space="preserve">perceived</w:t>
      </w:r>
      <w:r>
        <w:t xml:space="preserve"> </w:t>
      </w:r>
      <w:r>
        <w:t xml:space="preserve">class exist in the literature only as figures, so we do not tabulate them rather than read values off a chart.</w:t>
      </w:r>
    </w:p>
    <w:p>
      <w:pPr>
        <w:pStyle w:val="BodyText"/>
      </w:pPr>
      <w:r>
        <w:t xml:space="preserve">The confound is single-directional, which is why the results survive it: Pool A signals both higher-status race and higher-status class, so any mechanism acting on either attribute pushes the contrast the same way and the design is biased</w:t>
      </w:r>
      <w:r>
        <w:t xml:space="preserve"> </w:t>
      </w:r>
      <w:r>
        <w:rPr>
          <w:bCs/>
          <w:b/>
        </w:rPr>
        <w:t xml:space="preserve">toward</w:t>
      </w:r>
      <w:r>
        <w:t xml:space="preserve"> </w:t>
      </w:r>
      <w:r>
        <w:t xml:space="preserve">detecting a difference. None is detected (§8.4, §8.11). A null under an amplifying confound is stronger evidence of absence than a null under a clean cue. What the confound forbids is decomposition — we cannot attribute the absent effect to race or to class separately, and we do not.</w:t>
      </w:r>
    </w:p>
    <w:p>
      <w:pPr>
        <w:pStyle w:val="BodyText"/>
      </w:pPr>
      <w:r>
        <w:t xml:space="preserve">Appendix B also documents that the four names excluded before the main grid were attributed to Gaddis without basis for two of them, and that two lowest-quartile names were retained that the stated rule would have dropped. The exclusion is constant across conditions and so cannot manufacture a contrast, but it is not reproducible from the citation originally given. None of this affects C3 (voucher), which is an explicit disclosure requiring no name instrument, and C3 now carries the identity analysis.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t xml:space="preserve">This limit now applies to a second, larger family of nulls. §8.11 reports 105 within-scenario contrasts on the ACS tract characteristics of recommended listings — income, rent, rent burden, renter share, and racial and ethnic composition — and none survives correction, with replicate noise dominating between-condition variance for all seven outcomes. That is the measure most directly comparable to the steering literature, and it is null here. It remains a null about</w:t>
      </w:r>
      <w:r>
        <w:t xml:space="preserve"> </w:t>
      </w:r>
      <w:r>
        <w:rPr>
          <w:iCs/>
          <w:i/>
        </w:rPr>
        <w:t xml:space="preserve">re-ranking a fixed set</w:t>
      </w:r>
      <w:r>
        <w:t xml:space="preserve">, not about steering, and it is measured over a compressed range of neighborhood variation because the sample is drawn from an unrepresentative slice of the city (Table 2b).</w:t>
      </w:r>
      <w:r>
        <w:t xml:space="preserve"> </w:t>
      </w: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5"/>
    <w:bookmarkStart w:id="76"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6"/>
    <w:bookmarkStart w:id="77"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Crabtree, C., Gaddis, S. M., Holbein, J. B., &amp; Nergård Larsen, E. (2022). Racially distinctive names signal both race/ethnicity and social class.</w:t>
      </w:r>
      <w:r>
        <w:t xml:space="preserve"> </w:t>
      </w:r>
      <w:r>
        <w:rPr>
          <w:iCs/>
          <w:i/>
        </w:rPr>
        <w:t xml:space="preserve">Sociological Science</w:t>
      </w:r>
      <w:r>
        <w:t xml:space="preserve">, 9, 454–472. https://doi.org/10.15195/v9.a18</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7"/>
    <w:bookmarkStart w:id="78"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8"/>
    <w:bookmarkStart w:id="79" w:name="X67c74f379d2ce3bdb115e652d09eef87e03e74a"/>
    <w:p>
      <w:pPr>
        <w:pStyle w:val="Heading2"/>
      </w:pPr>
      <w:r>
        <w:t xml:space="preserve">Appendix B. Name pool and validation status</w:t>
      </w:r>
    </w:p>
    <w:p>
      <w:pPr>
        <w:pStyle w:val="FirstParagraph"/>
      </w:pPr>
      <w:r>
        <w:rPr>
          <w:bCs/>
          <w:b/>
        </w:rPr>
        <w:t xml:space="preserve">Provenance.</w:t>
      </w:r>
      <w:r>
        <w:t xml:space="preserve"> </w:t>
      </w:r>
      <w:r>
        <w:t xml:space="preserve">The first-name lists are from Bertrand and Mullainathan (2004),</w:t>
      </w:r>
      <w:r>
        <w:t xml:space="preserve"> </w:t>
      </w:r>
      <w:r>
        <w:rPr>
          <w:iCs/>
          <w:i/>
        </w:rPr>
        <w:t xml:space="preserve">AER</w:t>
      </w:r>
      <w:r>
        <w:t xml:space="preserve"> </w:t>
      </w:r>
      <w:r>
        <w:t xml:space="preserve">94(4), Appendix Table A1 — the most widely replicated correspondence-audit name set. Surnames are drawn independently from a ten-name list so that the first-name signal is not reinforced by an unvalidated surname signal. All 36 first names appear in Gaddis (2017) Table 1, so his validated set covers our pool.</w:t>
      </w:r>
    </w:p>
    <w:p>
      <w:pPr>
        <w:pStyle w:val="BodyText"/>
      </w:pPr>
      <w:r>
        <w:rPr>
          <w:bCs/>
          <w:b/>
        </w:rPr>
        <w:t xml:space="preserve">What is available, and what is not.</w:t>
      </w:r>
      <w:r>
        <w:t xml:space="preserve"> </w:t>
      </w:r>
      <w:r>
        <w:t xml:space="preserve">The original specification for this appendix called for</w:t>
      </w:r>
      <w:r>
        <w:t xml:space="preserve"> </w:t>
      </w:r>
      <w:r>
        <w:t xml:space="preserve">“</w:t>
      </w:r>
      <w:r>
        <w:t xml:space="preserve">perceived-race and perceived-SES scores per name</w:t>
      </w:r>
      <w:r>
        <w:t xml:space="preserve">”</w:t>
      </w:r>
      <w:r>
        <w:t xml:space="preserve"> </w:t>
      </w:r>
      <w:r>
        <w:t xml:space="preserve">from Gaddis (2017). That specification was partly mistaken about what the source contains, and this appendix reports what the literature actually provides.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Quantity</w:t>
            </w:r>
          </w:p>
        </w:tc>
        <w:tc>
          <w:p>
            <w:pPr>
              <w:pStyle w:val="Compact"/>
              <w:jc w:val="left"/>
            </w:pPr>
            <w:r>
              <w:t xml:space="preserve">Source</w:t>
            </w:r>
          </w:p>
        </w:tc>
        <w:tc>
          <w:p>
            <w:pPr>
              <w:pStyle w:val="Compact"/>
              <w:jc w:val="left"/>
            </w:pPr>
            <w:r>
              <w:t xml:space="preserve">Form</w:t>
            </w:r>
          </w:p>
        </w:tc>
        <w:tc>
          <w:p>
            <w:pPr>
              <w:pStyle w:val="Compact"/>
              <w:jc w:val="left"/>
            </w:pPr>
            <w:r>
              <w:t xml:space="preserve">Usable here</w:t>
            </w:r>
          </w:p>
        </w:tc>
      </w:tr>
      <w:tr>
        <w:tc>
          <w:p>
            <w:pPr>
              <w:pStyle w:val="Compact"/>
              <w:jc w:val="left"/>
            </w:pPr>
            <w:r>
              <w:t xml:space="preserve">Objective SES correlate: quartile of mother’s education within race</w:t>
            </w:r>
          </w:p>
        </w:tc>
        <w:tc>
          <w:p>
            <w:pPr>
              <w:pStyle w:val="Compact"/>
              <w:jc w:val="left"/>
            </w:pPr>
            <w:r>
              <w:t xml:space="preserve">Gaddis (2017) Table 1</w:t>
            </w:r>
          </w:p>
        </w:tc>
        <w:tc>
          <w:p>
            <w:pPr>
              <w:pStyle w:val="Compact"/>
              <w:jc w:val="left"/>
            </w:pPr>
            <w:r>
              <w:t xml:space="preserve">Encoded typographically (bold = lowest quartile, italic = highest)</w:t>
            </w:r>
          </w:p>
        </w:tc>
        <w:tc>
          <w:p>
            <w:pPr>
              <w:pStyle w:val="Compact"/>
              <w:jc w:val="left"/>
            </w:pPr>
            <w:r>
              <w:rPr>
                <w:bCs/>
                <w:b/>
              </w:rPr>
              <w:t xml:space="preserve">Yes</w:t>
            </w:r>
            <w:r>
              <w:t xml:space="preserve"> </w:t>
            </w:r>
            <w:r>
              <w:t xml:space="preserve">— reported below</w:t>
            </w:r>
          </w:p>
        </w:tc>
      </w:tr>
      <w:tr>
        <w:tc>
          <w:p>
            <w:pPr>
              <w:pStyle w:val="Compact"/>
              <w:jc w:val="left"/>
            </w:pPr>
            <w:r>
              <w:t xml:space="preserve">Perceived race, per name</w:t>
            </w:r>
          </w:p>
        </w:tc>
        <w:tc>
          <w:p>
            <w:pPr>
              <w:pStyle w:val="Compact"/>
              <w:jc w:val="left"/>
            </w:pPr>
            <w:r>
              <w:t xml:space="preserve">Gaddis (2017) Figures 1–2</w:t>
            </w:r>
          </w:p>
        </w:tc>
        <w:tc>
          <w:p>
            <w:pPr>
              <w:pStyle w:val="Compact"/>
              <w:jc w:val="left"/>
            </w:pPr>
            <w:r>
              <w:t xml:space="preserve">Raster bar charts; no tabular values, no appendix table</w:t>
            </w:r>
          </w:p>
        </w:tc>
        <w:tc>
          <w:p>
            <w:pPr>
              <w:pStyle w:val="Compact"/>
              <w:jc w:val="left"/>
            </w:pPr>
            <w:r>
              <w:t xml:space="preserve">Rank order and coarse bands only; not to the precision a table implies</w:t>
            </w:r>
          </w:p>
        </w:tc>
      </w:tr>
      <w:tr>
        <w:tc>
          <w:p>
            <w:pPr>
              <w:pStyle w:val="Compact"/>
              <w:jc w:val="left"/>
            </w:pPr>
            <w:r>
              <w:t xml:space="preserve">Perceived</w:t>
            </w:r>
            <w:r>
              <w:t xml:space="preserve"> </w:t>
            </w:r>
            <w:r>
              <w:rPr>
                <w:bCs/>
                <w:b/>
              </w:rPr>
              <w:t xml:space="preserve">social class</w:t>
            </w:r>
            <w:r>
              <w:t xml:space="preserve">, per name</w:t>
            </w:r>
          </w:p>
        </w:tc>
        <w:tc>
          <w:p>
            <w:pPr>
              <w:pStyle w:val="Compact"/>
              <w:jc w:val="left"/>
            </w:pPr>
            <w:r>
              <w:t xml:space="preserve">Crabtree, Gaddis, Holbein &amp; Larsen (2022),</w:t>
            </w:r>
            <w:r>
              <w:t xml:space="preserve"> </w:t>
            </w:r>
            <w:r>
              <w:rPr>
                <w:iCs/>
                <w:i/>
              </w:rPr>
              <w:t xml:space="preserve">Sociological Science</w:t>
            </w:r>
            <w:r>
              <w:t xml:space="preserve"> </w:t>
            </w:r>
            <w:r>
              <w:t xml:space="preserve">9:454–472</w:t>
            </w:r>
          </w:p>
        </w:tc>
        <w:tc>
          <w:p>
            <w:pPr>
              <w:pStyle w:val="Compact"/>
              <w:jc w:val="left"/>
            </w:pPr>
            <w:r>
              <w:t xml:space="preserve">Figure 4, raster</w:t>
            </w:r>
          </w:p>
        </w:tc>
        <w:tc>
          <w:p>
            <w:pPr>
              <w:pStyle w:val="Compact"/>
              <w:jc w:val="left"/>
            </w:pPr>
            <w:r>
              <w:t xml:space="preserve">Not tabulated</w:t>
            </w:r>
          </w:p>
        </w:tc>
      </w:tr>
    </w:tbl>
    <w:p>
      <w:pPr>
        <w:pStyle w:val="BodyText"/>
      </w:pPr>
      <w:r>
        <w:t xml:space="preserve">Gaddis (2017) measures perceived</w:t>
      </w:r>
      <w:r>
        <w:t xml:space="preserve"> </w:t>
      </w:r>
      <w:r>
        <w:rPr>
          <w:bCs/>
          <w:b/>
        </w:rPr>
        <w:t xml:space="preserve">race</w:t>
      </w:r>
      <w:r>
        <w:t xml:space="preserve">; it does not report a perceived-SES score for individual names. The paper on class perceptions from names is Crabtree et al. (2022). Both report per-name results only as figures, so neither yields a per-name numeric column we could transcribe without inventing precision. We therefore report the one per-name characteristic that</w:t>
      </w:r>
      <w:r>
        <w:t xml:space="preserve"> </w:t>
      </w:r>
      <w:r>
        <w:rPr>
          <w:iCs/>
          <w:i/>
        </w:rPr>
        <w:t xml:space="preserve">is</w:t>
      </w:r>
      <w:r>
        <w:t xml:space="preserve"> </w:t>
      </w:r>
      <w:r>
        <w:t xml:space="preserve">recoverable exactly, and are explicit that the other two are not.</w:t>
      </w:r>
    </w:p>
    <w:p>
      <w:pPr>
        <w:pStyle w:val="BodyText"/>
      </w:pPr>
      <w:r>
        <w:rPr>
          <w:bCs/>
          <w:b/>
        </w:rPr>
        <w:t xml:space="preserve">Table B1. Names used, with Gaddis (2017) mother’s-education quartile.</w:t>
      </w:r>
      <w:r>
        <w:t xml:space="preserve"> </w:t>
      </w:r>
      <w:r>
        <w:t xml:space="preserve">Draw counts are the realized allocation across the 150 scenarios under</w:t>
      </w:r>
      <w:r>
        <w:t xml:space="preserve"> </w:t>
      </w:r>
      <w:r>
        <w:rPr>
          <w:rStyle w:val="VerbatimChar"/>
        </w:rPr>
        <w:t xml:space="preserve">SEED = 20260823</w:t>
      </w:r>
      <w:r>
        <w:t xml:space="preserve">; names rotate so that name identity is a random factor rather than two fixed exemplars.</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Pool A (B&amp;M white-sounding)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c>
          <w:p/>
        </w:tc>
        <w:tc>
          <w:p>
            <w:pPr>
              <w:pStyle w:val="Compact"/>
              <w:jc w:val="left"/>
            </w:pPr>
            <w:r>
              <w:t xml:space="preserve">Pool B (B&amp;M Black-sounding)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r>
      <w:tr>
        <w:tc>
          <w:p>
            <w:pPr>
              <w:pStyle w:val="Compact"/>
              <w:jc w:val="left"/>
            </w:pPr>
            <w:r>
              <w:t xml:space="preserve">Allison</w:t>
            </w:r>
          </w:p>
        </w:tc>
        <w:tc>
          <w:p>
            <w:pPr>
              <w:pStyle w:val="Compact"/>
              <w:jc w:val="left"/>
            </w:pPr>
            <w:r>
              <w:t xml:space="preserve">F</w:t>
            </w:r>
          </w:p>
        </w:tc>
        <w:tc>
          <w:p>
            <w:pPr>
              <w:pStyle w:val="Compact"/>
              <w:jc w:val="left"/>
            </w:pPr>
            <w:r>
              <w:t xml:space="preserve">highest</w:t>
            </w:r>
          </w:p>
        </w:tc>
        <w:tc>
          <w:p>
            <w:pPr>
              <w:pStyle w:val="Compact"/>
              <w:jc w:val="left"/>
            </w:pPr>
            <w:r>
              <w:t xml:space="preserve">6</w:t>
            </w:r>
          </w:p>
        </w:tc>
        <w:tc>
          <w:p/>
        </w:tc>
        <w:tc>
          <w:p>
            <w:pPr>
              <w:pStyle w:val="Compact"/>
              <w:jc w:val="left"/>
            </w:pPr>
            <w:r>
              <w:t xml:space="preserve">Aisha</w:t>
            </w:r>
          </w:p>
        </w:tc>
        <w:tc>
          <w:p>
            <w:pPr>
              <w:pStyle w:val="Compact"/>
              <w:jc w:val="left"/>
            </w:pPr>
            <w:r>
              <w:t xml:space="preserve">F</w:t>
            </w:r>
          </w:p>
        </w:tc>
        <w:tc>
          <w:p>
            <w:pPr>
              <w:pStyle w:val="Compact"/>
              <w:jc w:val="left"/>
            </w:pPr>
            <w:r>
              <w:t xml:space="preserve">middle</w:t>
            </w:r>
          </w:p>
        </w:tc>
        <w:tc>
          <w:p>
            <w:pPr>
              <w:pStyle w:val="Compact"/>
              <w:jc w:val="left"/>
            </w:pPr>
            <w:r>
              <w:t xml:space="preserve">14</w:t>
            </w:r>
          </w:p>
        </w:tc>
      </w:tr>
      <w:tr>
        <w:tc>
          <w:p>
            <w:pPr>
              <w:pStyle w:val="Compact"/>
              <w:jc w:val="left"/>
            </w:pPr>
            <w:r>
              <w:t xml:space="preserve">Anne</w:t>
            </w:r>
          </w:p>
        </w:tc>
        <w:tc>
          <w:p>
            <w:pPr>
              <w:pStyle w:val="Compact"/>
              <w:jc w:val="left"/>
            </w:pPr>
            <w:r>
              <w:t xml:space="preserve">F</w:t>
            </w:r>
          </w:p>
        </w:tc>
        <w:tc>
          <w:p>
            <w:pPr>
              <w:pStyle w:val="Compact"/>
              <w:jc w:val="left"/>
            </w:pPr>
            <w:r>
              <w:t xml:space="preserve">highest</w:t>
            </w:r>
          </w:p>
        </w:tc>
        <w:tc>
          <w:p>
            <w:pPr>
              <w:pStyle w:val="Compact"/>
              <w:jc w:val="left"/>
            </w:pPr>
            <w:r>
              <w:t xml:space="preserve">16</w:t>
            </w:r>
          </w:p>
        </w:tc>
        <w:tc>
          <w:p/>
        </w:tc>
        <w:tc>
          <w:p>
            <w:pPr>
              <w:pStyle w:val="Compact"/>
              <w:jc w:val="left"/>
            </w:pPr>
            <w:r>
              <w:t xml:space="preserve">Ebony</w:t>
            </w:r>
          </w:p>
        </w:tc>
        <w:tc>
          <w:p>
            <w:pPr>
              <w:pStyle w:val="Compact"/>
              <w:jc w:val="left"/>
            </w:pPr>
            <w:r>
              <w:t xml:space="preserve">F</w:t>
            </w:r>
          </w:p>
        </w:tc>
        <w:tc>
          <w:p>
            <w:pPr>
              <w:pStyle w:val="Compact"/>
              <w:jc w:val="left"/>
            </w:pPr>
            <w:r>
              <w:t xml:space="preserve">middle</w:t>
            </w:r>
          </w:p>
        </w:tc>
        <w:tc>
          <w:p>
            <w:pPr>
              <w:pStyle w:val="Compact"/>
              <w:jc w:val="left"/>
            </w:pPr>
            <w:r>
              <w:t xml:space="preserve">7</w:t>
            </w:r>
          </w:p>
        </w:tc>
      </w:tr>
      <w:tr>
        <w:tc>
          <w:p>
            <w:pPr>
              <w:pStyle w:val="Compact"/>
              <w:jc w:val="left"/>
            </w:pPr>
            <w:r>
              <w:t xml:space="preserve">Carrie</w:t>
            </w:r>
          </w:p>
        </w:tc>
        <w:tc>
          <w:p>
            <w:pPr>
              <w:pStyle w:val="Compact"/>
              <w:jc w:val="left"/>
            </w:pPr>
            <w:r>
              <w:t xml:space="preserve">F</w:t>
            </w:r>
          </w:p>
        </w:tc>
        <w:tc>
          <w:p>
            <w:pPr>
              <w:pStyle w:val="Compact"/>
              <w:jc w:val="left"/>
            </w:pPr>
            <w:r>
              <w:t xml:space="preserve">middle</w:t>
            </w:r>
          </w:p>
        </w:tc>
        <w:tc>
          <w:p>
            <w:pPr>
              <w:pStyle w:val="Compact"/>
              <w:jc w:val="left"/>
            </w:pPr>
            <w:r>
              <w:t xml:space="preserve">11</w:t>
            </w:r>
          </w:p>
        </w:tc>
        <w:tc>
          <w:p/>
        </w:tc>
        <w:tc>
          <w:p>
            <w:pPr>
              <w:pStyle w:val="Compact"/>
              <w:jc w:val="left"/>
            </w:pPr>
            <w:r>
              <w:t xml:space="preserve">Keisha</w:t>
            </w:r>
          </w:p>
        </w:tc>
        <w:tc>
          <w:p>
            <w:pPr>
              <w:pStyle w:val="Compact"/>
              <w:jc w:val="left"/>
            </w:pPr>
            <w:r>
              <w:t xml:space="preserve">F</w:t>
            </w:r>
          </w:p>
        </w:tc>
        <w:tc>
          <w:p>
            <w:pPr>
              <w:pStyle w:val="Compact"/>
              <w:jc w:val="left"/>
            </w:pPr>
            <w:r>
              <w:t xml:space="preserve">middle</w:t>
            </w:r>
          </w:p>
        </w:tc>
        <w:tc>
          <w:p>
            <w:pPr>
              <w:pStyle w:val="Compact"/>
              <w:jc w:val="left"/>
            </w:pPr>
            <w:r>
              <w:t xml:space="preserve">15</w:t>
            </w:r>
          </w:p>
        </w:tc>
      </w:tr>
      <w:tr>
        <w:tc>
          <w:p>
            <w:pPr>
              <w:pStyle w:val="Compact"/>
              <w:jc w:val="left"/>
            </w:pPr>
            <w:r>
              <w:t xml:space="preserve">Emily</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Latoya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11</w:t>
            </w:r>
          </w:p>
        </w:tc>
      </w:tr>
      <w:tr>
        <w:tc>
          <w:p>
            <w:pPr>
              <w:pStyle w:val="Compact"/>
              <w:jc w:val="left"/>
            </w:pPr>
            <w:r>
              <w:t xml:space="preserve">Jill</w:t>
            </w:r>
          </w:p>
        </w:tc>
        <w:tc>
          <w:p>
            <w:pPr>
              <w:pStyle w:val="Compact"/>
              <w:jc w:val="left"/>
            </w:pPr>
            <w:r>
              <w:t xml:space="preserve">F</w:t>
            </w:r>
          </w:p>
        </w:tc>
        <w:tc>
          <w:p>
            <w:pPr>
              <w:pStyle w:val="Compact"/>
              <w:jc w:val="left"/>
            </w:pPr>
            <w:r>
              <w:t xml:space="preserve">highest</w:t>
            </w:r>
          </w:p>
        </w:tc>
        <w:tc>
          <w:p>
            <w:pPr>
              <w:pStyle w:val="Compact"/>
              <w:jc w:val="left"/>
            </w:pPr>
            <w:r>
              <w:t xml:space="preserve">8</w:t>
            </w:r>
          </w:p>
        </w:tc>
        <w:tc>
          <w:p/>
        </w:tc>
        <w:tc>
          <w:p>
            <w:pPr>
              <w:pStyle w:val="Compact"/>
              <w:jc w:val="left"/>
            </w:pPr>
            <w:r>
              <w:t xml:space="preserve">Tamika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12</w:t>
            </w:r>
          </w:p>
        </w:tc>
      </w:tr>
      <w:tr>
        <w:tc>
          <w:p>
            <w:pPr>
              <w:pStyle w:val="Compact"/>
              <w:jc w:val="left"/>
            </w:pPr>
            <w:r>
              <w:t xml:space="preserve">Kristen</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Tanisha</w:t>
            </w:r>
          </w:p>
        </w:tc>
        <w:tc>
          <w:p>
            <w:pPr>
              <w:pStyle w:val="Compact"/>
              <w:jc w:val="left"/>
            </w:pPr>
            <w:r>
              <w:t xml:space="preserve">F</w:t>
            </w:r>
          </w:p>
        </w:tc>
        <w:tc>
          <w:p>
            <w:pPr>
              <w:pStyle w:val="Compact"/>
              <w:jc w:val="left"/>
            </w:pPr>
            <w:r>
              <w:t xml:space="preserve">middle</w:t>
            </w:r>
          </w:p>
        </w:tc>
        <w:tc>
          <w:p>
            <w:pPr>
              <w:pStyle w:val="Compact"/>
              <w:jc w:val="left"/>
            </w:pPr>
            <w:r>
              <w:t xml:space="preserve">17</w:t>
            </w:r>
          </w:p>
        </w:tc>
      </w:tr>
      <w:tr>
        <w:tc>
          <w:p>
            <w:pPr>
              <w:pStyle w:val="Compact"/>
              <w:jc w:val="left"/>
            </w:pPr>
            <w:r>
              <w:t xml:space="preserve">Laurie</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Darnell</w:t>
            </w:r>
          </w:p>
        </w:tc>
        <w:tc>
          <w:p>
            <w:pPr>
              <w:pStyle w:val="Compact"/>
              <w:jc w:val="left"/>
            </w:pPr>
            <w:r>
              <w:t xml:space="preserve">M</w:t>
            </w:r>
          </w:p>
        </w:tc>
        <w:tc>
          <w:p>
            <w:pPr>
              <w:pStyle w:val="Compact"/>
              <w:jc w:val="left"/>
            </w:pPr>
            <w:r>
              <w:t xml:space="preserve">middle</w:t>
            </w:r>
          </w:p>
        </w:tc>
        <w:tc>
          <w:p>
            <w:pPr>
              <w:pStyle w:val="Compact"/>
              <w:jc w:val="left"/>
            </w:pPr>
            <w:r>
              <w:t xml:space="preserve">8</w:t>
            </w:r>
          </w:p>
        </w:tc>
      </w:tr>
      <w:tr>
        <w:tc>
          <w:p>
            <w:pPr>
              <w:pStyle w:val="Compact"/>
              <w:jc w:val="left"/>
            </w:pPr>
            <w:r>
              <w:t xml:space="preserve">Meredith</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Hakim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Sarah</w:t>
            </w:r>
          </w:p>
        </w:tc>
        <w:tc>
          <w:p>
            <w:pPr>
              <w:pStyle w:val="Compact"/>
              <w:jc w:val="left"/>
            </w:pPr>
            <w:r>
              <w:t xml:space="preserve">F</w:t>
            </w:r>
          </w:p>
        </w:tc>
        <w:tc>
          <w:p>
            <w:pPr>
              <w:pStyle w:val="Compact"/>
              <w:jc w:val="left"/>
            </w:pPr>
            <w:r>
              <w:t xml:space="preserve">highest</w:t>
            </w:r>
          </w:p>
        </w:tc>
        <w:tc>
          <w:p>
            <w:pPr>
              <w:pStyle w:val="Compact"/>
              <w:jc w:val="left"/>
            </w:pPr>
            <w:r>
              <w:t xml:space="preserve">5</w:t>
            </w:r>
          </w:p>
        </w:tc>
        <w:tc>
          <w:p/>
        </w:tc>
        <w:tc>
          <w:p>
            <w:pPr>
              <w:pStyle w:val="Compact"/>
              <w:jc w:val="left"/>
            </w:pPr>
            <w:r>
              <w:t xml:space="preserve">Jamal</w:t>
            </w:r>
          </w:p>
        </w:tc>
        <w:tc>
          <w:p>
            <w:pPr>
              <w:pStyle w:val="Compact"/>
              <w:jc w:val="left"/>
            </w:pPr>
            <w:r>
              <w:t xml:space="preserve">M</w:t>
            </w:r>
          </w:p>
        </w:tc>
        <w:tc>
          <w:p>
            <w:pPr>
              <w:pStyle w:val="Compact"/>
              <w:jc w:val="left"/>
            </w:pPr>
            <w:r>
              <w:t xml:space="preserve">middle</w:t>
            </w:r>
          </w:p>
        </w:tc>
        <w:tc>
          <w:p>
            <w:pPr>
              <w:pStyle w:val="Compact"/>
              <w:jc w:val="left"/>
            </w:pPr>
            <w:r>
              <w:t xml:space="preserve">12</w:t>
            </w:r>
          </w:p>
        </w:tc>
      </w:tr>
      <w:tr>
        <w:tc>
          <w:p>
            <w:pPr>
              <w:pStyle w:val="Compact"/>
              <w:jc w:val="left"/>
            </w:pPr>
            <w:r>
              <w:t xml:space="preserve">Brad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pPr>
              <w:pStyle w:val="Compact"/>
              <w:jc w:val="left"/>
            </w:pPr>
            <w:r>
              <w:t xml:space="preserve">Jermaine</w:t>
            </w:r>
          </w:p>
        </w:tc>
        <w:tc>
          <w:p>
            <w:pPr>
              <w:pStyle w:val="Compact"/>
              <w:jc w:val="left"/>
            </w:pPr>
            <w:r>
              <w:t xml:space="preserve">M</w:t>
            </w:r>
          </w:p>
        </w:tc>
        <w:tc>
          <w:p>
            <w:pPr>
              <w:pStyle w:val="Compact"/>
              <w:jc w:val="left"/>
            </w:pPr>
            <w:r>
              <w:t xml:space="preserve">middle</w:t>
            </w:r>
          </w:p>
        </w:tc>
        <w:tc>
          <w:p>
            <w:pPr>
              <w:pStyle w:val="Compact"/>
              <w:jc w:val="left"/>
            </w:pPr>
            <w:r>
              <w:t xml:space="preserve">10</w:t>
            </w:r>
          </w:p>
        </w:tc>
      </w:tr>
      <w:tr>
        <w:tc>
          <w:p>
            <w:pPr>
              <w:pStyle w:val="Compact"/>
              <w:jc w:val="left"/>
            </w:pPr>
            <w:r>
              <w:t xml:space="preserve">Brendan</w:t>
            </w:r>
          </w:p>
        </w:tc>
        <w:tc>
          <w:p>
            <w:pPr>
              <w:pStyle w:val="Compact"/>
              <w:jc w:val="left"/>
            </w:pPr>
            <w:r>
              <w:t xml:space="preserve">M</w:t>
            </w:r>
          </w:p>
        </w:tc>
        <w:tc>
          <w:p>
            <w:pPr>
              <w:pStyle w:val="Compact"/>
              <w:jc w:val="left"/>
            </w:pPr>
            <w:r>
              <w:t xml:space="preserve">highest</w:t>
            </w:r>
          </w:p>
        </w:tc>
        <w:tc>
          <w:p>
            <w:pPr>
              <w:pStyle w:val="Compact"/>
              <w:jc w:val="left"/>
            </w:pPr>
            <w:r>
              <w:t xml:space="preserve">12</w:t>
            </w:r>
          </w:p>
        </w:tc>
        <w:tc>
          <w:p/>
        </w:tc>
        <w:tc>
          <w:p>
            <w:pPr>
              <w:pStyle w:val="Compact"/>
              <w:jc w:val="left"/>
            </w:pPr>
            <w:r>
              <w:t xml:space="preserve">Kareem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Brett</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Leroy</w:t>
            </w:r>
          </w:p>
        </w:tc>
        <w:tc>
          <w:p>
            <w:pPr>
              <w:pStyle w:val="Compact"/>
              <w:jc w:val="left"/>
            </w:pPr>
            <w:r>
              <w:t xml:space="preserve">M</w:t>
            </w:r>
          </w:p>
        </w:tc>
        <w:tc>
          <w:p>
            <w:pPr>
              <w:pStyle w:val="Compact"/>
              <w:jc w:val="left"/>
            </w:pPr>
            <w:r>
              <w:t xml:space="preserve">middle</w:t>
            </w:r>
          </w:p>
        </w:tc>
        <w:tc>
          <w:p>
            <w:pPr>
              <w:pStyle w:val="Compact"/>
              <w:jc w:val="left"/>
            </w:pPr>
            <w:r>
              <w:t xml:space="preserve">6</w:t>
            </w:r>
          </w:p>
        </w:tc>
      </w:tr>
      <w:tr>
        <w:tc>
          <w:p>
            <w:pPr>
              <w:pStyle w:val="Compact"/>
              <w:jc w:val="left"/>
            </w:pPr>
            <w:r>
              <w:t xml:space="preserve">Geoffrey</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Rasheed</w:t>
            </w:r>
          </w:p>
        </w:tc>
        <w:tc>
          <w:p>
            <w:pPr>
              <w:pStyle w:val="Compact"/>
              <w:jc w:val="left"/>
            </w:pPr>
            <w:r>
              <w:t xml:space="preserve">M</w:t>
            </w:r>
          </w:p>
        </w:tc>
        <w:tc>
          <w:p>
            <w:pPr>
              <w:pStyle w:val="Compact"/>
              <w:jc w:val="left"/>
            </w:pPr>
            <w:r>
              <w:t xml:space="preserve">middle</w:t>
            </w:r>
          </w:p>
        </w:tc>
        <w:tc>
          <w:p>
            <w:pPr>
              <w:pStyle w:val="Compact"/>
              <w:jc w:val="left"/>
            </w:pPr>
            <w:r>
              <w:t xml:space="preserve">9</w:t>
            </w:r>
          </w:p>
        </w:tc>
      </w:tr>
      <w:tr>
        <w:tc>
          <w:p>
            <w:pPr>
              <w:pStyle w:val="Compact"/>
              <w:jc w:val="left"/>
            </w:pPr>
            <w:r>
              <w:t xml:space="preserve">Greg</w:t>
            </w:r>
          </w:p>
        </w:tc>
        <w:tc>
          <w:p>
            <w:pPr>
              <w:pStyle w:val="Compact"/>
              <w:jc w:val="left"/>
            </w:pPr>
            <w:r>
              <w:t xml:space="preserve">M</w:t>
            </w:r>
          </w:p>
        </w:tc>
        <w:tc>
          <w:p>
            <w:pPr>
              <w:pStyle w:val="Compact"/>
              <w:jc w:val="left"/>
            </w:pPr>
            <w:r>
              <w:t xml:space="preserve">middle</w:t>
            </w:r>
          </w:p>
        </w:tc>
        <w:tc>
          <w:p>
            <w:pPr>
              <w:pStyle w:val="Compact"/>
              <w:jc w:val="left"/>
            </w:pPr>
            <w:r>
              <w:t xml:space="preserve">9</w:t>
            </w:r>
          </w:p>
        </w:tc>
        <w:tc>
          <w:p/>
        </w:tc>
        <w:tc>
          <w:p>
            <w:pPr>
              <w:pStyle w:val="Compact"/>
              <w:jc w:val="left"/>
            </w:pPr>
            <w:r>
              <w:t xml:space="preserve">Tyrone</w:t>
            </w:r>
          </w:p>
        </w:tc>
        <w:tc>
          <w:p>
            <w:pPr>
              <w:pStyle w:val="Compact"/>
              <w:jc w:val="left"/>
            </w:pPr>
            <w:r>
              <w:t xml:space="preserve">M</w:t>
            </w:r>
          </w:p>
        </w:tc>
        <w:tc>
          <w:p>
            <w:pPr>
              <w:pStyle w:val="Compact"/>
              <w:jc w:val="left"/>
            </w:pPr>
            <w:r>
              <w:t xml:space="preserve">middle</w:t>
            </w:r>
          </w:p>
        </w:tc>
        <w:tc>
          <w:p>
            <w:pPr>
              <w:pStyle w:val="Compact"/>
              <w:jc w:val="left"/>
            </w:pPr>
            <w:r>
              <w:t xml:space="preserve">7</w:t>
            </w:r>
          </w:p>
        </w:tc>
      </w:tr>
      <w:tr>
        <w:tc>
          <w:p>
            <w:pPr>
              <w:pStyle w:val="Compact"/>
              <w:jc w:val="left"/>
            </w:pPr>
            <w:r>
              <w:t xml:space="preserve">Jay</w:t>
            </w:r>
          </w:p>
        </w:tc>
        <w:tc>
          <w:p>
            <w:pPr>
              <w:pStyle w:val="Compact"/>
              <w:jc w:val="left"/>
            </w:pPr>
            <w:r>
              <w:t xml:space="preserve">M</w:t>
            </w:r>
          </w:p>
        </w:tc>
        <w:tc>
          <w:p>
            <w:pPr>
              <w:pStyle w:val="Compact"/>
              <w:jc w:val="left"/>
            </w:pPr>
            <w:r>
              <w:t xml:space="preserve">middle</w:t>
            </w:r>
          </w:p>
        </w:tc>
        <w:tc>
          <w:p>
            <w:pPr>
              <w:pStyle w:val="Compact"/>
              <w:jc w:val="left"/>
            </w:pPr>
            <w:r>
              <w:t xml:space="preserve">8</w:t>
            </w:r>
          </w:p>
        </w:tc>
        <w:tc>
          <w:p/>
        </w:tc>
        <w:tc>
          <w:p/>
        </w:tc>
        <w:tc>
          <w:p/>
        </w:tc>
        <w:tc>
          <w:p/>
        </w:tc>
        <w:tc>
          <w:p/>
        </w:tc>
      </w:tr>
      <w:tr>
        <w:tc>
          <w:p>
            <w:pPr>
              <w:pStyle w:val="Compact"/>
              <w:jc w:val="left"/>
            </w:pPr>
            <w:r>
              <w:t xml:space="preserve">Matthew</w:t>
            </w:r>
          </w:p>
        </w:tc>
        <w:tc>
          <w:p>
            <w:pPr>
              <w:pStyle w:val="Compact"/>
              <w:jc w:val="left"/>
            </w:pPr>
            <w:r>
              <w:t xml:space="preserve">M</w:t>
            </w:r>
          </w:p>
        </w:tc>
        <w:tc>
          <w:p>
            <w:pPr>
              <w:pStyle w:val="Compact"/>
              <w:jc w:val="left"/>
            </w:pPr>
            <w:r>
              <w:t xml:space="preserve">highest</w:t>
            </w:r>
          </w:p>
        </w:tc>
        <w:tc>
          <w:p>
            <w:pPr>
              <w:pStyle w:val="Compact"/>
              <w:jc w:val="left"/>
            </w:pPr>
            <w:r>
              <w:t xml:space="preserve">11</w:t>
            </w:r>
          </w:p>
        </w:tc>
        <w:tc>
          <w:p/>
        </w:tc>
        <w:tc>
          <w:p/>
        </w:tc>
        <w:tc>
          <w:p/>
        </w:tc>
        <w:tc>
          <w:p/>
        </w:tc>
        <w:tc>
          <w:p/>
        </w:tc>
      </w:tr>
      <w:tr>
        <w:tc>
          <w:p>
            <w:pPr>
              <w:pStyle w:val="Compact"/>
              <w:jc w:val="left"/>
            </w:pPr>
            <w:r>
              <w:t xml:space="preserve">Neil</w:t>
            </w:r>
          </w:p>
        </w:tc>
        <w:tc>
          <w:p>
            <w:pPr>
              <w:pStyle w:val="Compact"/>
              <w:jc w:val="left"/>
            </w:pPr>
            <w:r>
              <w:t xml:space="preserve">M</w:t>
            </w:r>
          </w:p>
        </w:tc>
        <w:tc>
          <w:p>
            <w:pPr>
              <w:pStyle w:val="Compact"/>
              <w:jc w:val="left"/>
            </w:pPr>
            <w:r>
              <w:t xml:space="preserve">highest</w:t>
            </w:r>
          </w:p>
        </w:tc>
        <w:tc>
          <w:p>
            <w:pPr>
              <w:pStyle w:val="Compact"/>
              <w:jc w:val="left"/>
            </w:pPr>
            <w:r>
              <w:t xml:space="preserve">4</w:t>
            </w:r>
          </w:p>
        </w:tc>
        <w:tc>
          <w:p/>
        </w:tc>
        <w:tc>
          <w:p/>
        </w:tc>
        <w:tc>
          <w:p/>
        </w:tc>
        <w:tc>
          <w:p/>
        </w:tc>
        <w:tc>
          <w:p/>
        </w:tc>
      </w:tr>
      <w:tr>
        <w:tc>
          <w:p>
            <w:pPr>
              <w:pStyle w:val="Compact"/>
              <w:jc w:val="left"/>
            </w:pPr>
            <w:r>
              <w:t xml:space="preserve">Todd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tc>
        <w:tc>
          <w:p/>
        </w:tc>
        <w:tc>
          <w:p/>
        </w:tc>
        <w:tc>
          <w:p/>
        </w:tc>
      </w:tr>
      <w:tr>
        <w:tc>
          <w:p>
            <w:pPr>
              <w:pStyle w:val="Compact"/>
              <w:jc w:val="left"/>
            </w:pPr>
            <w:r>
              <w:rPr>
                <w:bCs/>
                <w:b/>
              </w:rPr>
              <w:t xml:space="preserve">18 names</w:t>
            </w:r>
          </w:p>
        </w:tc>
        <w:tc>
          <w:p/>
        </w:tc>
        <w:tc>
          <w:p>
            <w:pPr>
              <w:pStyle w:val="Compact"/>
              <w:jc w:val="left"/>
            </w:pPr>
            <w:r>
              <w:rPr>
                <w:bCs/>
                <w:b/>
              </w:rPr>
              <w:t xml:space="preserve">11 highest, 7 middle, 0 lowest</w:t>
            </w:r>
          </w:p>
        </w:tc>
        <w:tc>
          <w:p/>
        </w:tc>
        <w:tc>
          <w:p/>
        </w:tc>
        <w:tc>
          <w:p>
            <w:pPr>
              <w:pStyle w:val="Compact"/>
              <w:jc w:val="left"/>
            </w:pPr>
            <w:r>
              <w:rPr>
                <w:bCs/>
                <w:b/>
              </w:rPr>
              <w:t xml:space="preserve">14 names</w:t>
            </w:r>
          </w:p>
        </w:tc>
        <w:tc>
          <w:p/>
        </w:tc>
        <w:tc>
          <w:p>
            <w:pPr>
              <w:pStyle w:val="Compact"/>
              <w:jc w:val="left"/>
            </w:pPr>
            <w:r>
              <w:rPr>
                <w:bCs/>
                <w:b/>
              </w:rPr>
              <w:t xml:space="preserve">0 highest, 12 middle, 2 lowest</w:t>
            </w:r>
          </w:p>
        </w:tc>
        <w:tc>
          <w:p/>
        </w:tc>
      </w:tr>
    </w:tbl>
    <w:p>
      <w:pPr>
        <w:pStyle w:val="BodyText"/>
      </w:pPr>
      <w:r>
        <w:t xml:space="preserve">Surnames, drawn independently and shared across both pools: Baker (36), Carter (30), Ellis (36), Hayes (34), Jenkins (28), Morgan (27), Palmer (32), Reynolds (24), Sutton (24), Warren (29). Sex is matched across C1 and C2 within a scenario, so gender is not confounded with the identity cue; the realized split is 76 female and 74 male scenarios.</w:t>
      </w:r>
    </w:p>
    <w:p>
      <w:pPr>
        <w:pStyle w:val="BodyText"/>
      </w:pPr>
      <w:r>
        <w:rPr>
          <w:bCs/>
          <w:b/>
        </w:rPr>
        <w:t xml:space="preserve">Two defects in the pool construction, both found after data collection.</w:t>
      </w:r>
    </w:p>
    <w:p>
      <w:pPr>
        <w:pStyle w:val="BodyText"/>
      </w:pPr>
      <w:r>
        <w:rPr>
          <w:iCs/>
          <w:i/>
        </w:rPr>
        <w:t xml:space="preserve">First, the exclusion list was not sourced to Gaddis and is wrong by its own stated rule.</w:t>
      </w:r>
      <w:r>
        <w:t xml:space="preserve"> </w:t>
      </w:r>
      <w:r>
        <w:t xml:space="preserve">Four Pool B names were dropped before the main grid — Lakisha, Latonya, Kenya, Tremayne — on the recorded ground that Gaddis</w:t>
      </w:r>
      <w:r>
        <w:t xml:space="preserve"> </w:t>
      </w:r>
      <w:r>
        <w:t xml:space="preserve">“</w:t>
      </w:r>
      <w:r>
        <w:t xml:space="preserve">specifically flags</w:t>
      </w:r>
      <w:r>
        <w:t xml:space="preserve">”</w:t>
      </w:r>
      <w:r>
        <w:t xml:space="preserve"> </w:t>
      </w:r>
      <w:r>
        <w:t xml:space="preserve">them as SES-atypical. Checked against Gaddis (2017) Table 1:</w:t>
      </w:r>
    </w:p>
    <w:tbl>
      <w:tblPr>
        <w:tblStyle w:val="Table"/>
        <w:tblW w:type="pct" w:w="0.0"/>
        <w:tblLook w:firstRow="1" w:lastRow="0" w:firstColumn="0" w:lastColumn="0" w:noHBand="0" w:noVBand="0" w:val="0020"/>
      </w:tblPr>
      <w:tblGrid/>
      <w:tr>
        <w:tc>
          <w:p>
            <w:pPr>
              <w:pStyle w:val="Compact"/>
              <w:jc w:val="left"/>
            </w:pPr>
            <w:r>
              <w:t xml:space="preserve">Excluded name</w:t>
            </w:r>
          </w:p>
        </w:tc>
        <w:tc>
          <w:p>
            <w:pPr>
              <w:pStyle w:val="Compact"/>
              <w:jc w:val="left"/>
            </w:pPr>
            <w:r>
              <w:t xml:space="preserve">Gaddis quartile</w:t>
            </w:r>
          </w:p>
        </w:tc>
        <w:tc>
          <w:p>
            <w:pPr>
              <w:pStyle w:val="Compact"/>
              <w:jc w:val="left"/>
            </w:pPr>
            <w:r>
              <w:t xml:space="preserve">Consistent with the stated rule?</w:t>
            </w:r>
          </w:p>
        </w:tc>
      </w:tr>
      <w:tr>
        <w:tc>
          <w:p>
            <w:pPr>
              <w:pStyle w:val="Compact"/>
              <w:jc w:val="left"/>
            </w:pPr>
            <w:r>
              <w:t xml:space="preserve">Lakisha</w:t>
            </w:r>
          </w:p>
        </w:tc>
        <w:tc>
          <w:p>
            <w:pPr>
              <w:pStyle w:val="Compact"/>
              <w:jc w:val="left"/>
            </w:pPr>
            <w:r>
              <w:t xml:space="preserve">lowest</w:t>
            </w:r>
          </w:p>
        </w:tc>
        <w:tc>
          <w:p>
            <w:pPr>
              <w:pStyle w:val="Compact"/>
              <w:jc w:val="left"/>
            </w:pPr>
            <w:r>
              <w:t xml:space="preserve">Yes</w:t>
            </w:r>
          </w:p>
        </w:tc>
      </w:tr>
      <w:tr>
        <w:tc>
          <w:p>
            <w:pPr>
              <w:pStyle w:val="Compact"/>
              <w:jc w:val="left"/>
            </w:pPr>
            <w:r>
              <w:t xml:space="preserve">Latonya</w:t>
            </w:r>
          </w:p>
        </w:tc>
        <w:tc>
          <w:p>
            <w:pPr>
              <w:pStyle w:val="Compact"/>
              <w:jc w:val="left"/>
            </w:pPr>
            <w:r>
              <w:t xml:space="preserve">lowest</w:t>
            </w:r>
          </w:p>
        </w:tc>
        <w:tc>
          <w:p>
            <w:pPr>
              <w:pStyle w:val="Compact"/>
              <w:jc w:val="left"/>
            </w:pPr>
            <w:r>
              <w:t xml:space="preserve">Yes</w:t>
            </w:r>
          </w:p>
        </w:tc>
      </w:tr>
      <w:tr>
        <w:tc>
          <w:p>
            <w:pPr>
              <w:pStyle w:val="Compact"/>
              <w:jc w:val="left"/>
            </w:pPr>
            <w:r>
              <w:t xml:space="preserve">Kenya</w:t>
            </w:r>
          </w:p>
        </w:tc>
        <w:tc>
          <w:p>
            <w:pPr>
              <w:pStyle w:val="Compact"/>
              <w:jc w:val="left"/>
            </w:pPr>
            <w:r>
              <w:t xml:space="preserve">middle</w:t>
            </w:r>
          </w:p>
        </w:tc>
        <w:tc>
          <w:p>
            <w:pPr>
              <w:pStyle w:val="Compact"/>
              <w:jc w:val="left"/>
            </w:pPr>
            <w:r>
              <w:rPr>
                <w:bCs/>
                <w:b/>
              </w:rPr>
              <w:t xml:space="preserve">No basis</w:t>
            </w:r>
          </w:p>
        </w:tc>
      </w:tr>
      <w:tr>
        <w:tc>
          <w:p>
            <w:pPr>
              <w:pStyle w:val="Compact"/>
              <w:jc w:val="left"/>
            </w:pPr>
            <w:r>
              <w:t xml:space="preserve">Tremayne</w:t>
            </w:r>
          </w:p>
        </w:tc>
        <w:tc>
          <w:p>
            <w:pPr>
              <w:pStyle w:val="Compact"/>
              <w:jc w:val="left"/>
            </w:pPr>
            <w:r>
              <w:t xml:space="preserve">middle</w:t>
            </w:r>
          </w:p>
        </w:tc>
        <w:tc>
          <w:p>
            <w:pPr>
              <w:pStyle w:val="Compact"/>
              <w:jc w:val="left"/>
            </w:pPr>
            <w:r>
              <w:rPr>
                <w:bCs/>
                <w:b/>
              </w:rPr>
              <w:t xml:space="preserve">No basis</w:t>
            </w:r>
          </w:p>
        </w:tc>
      </w:tr>
    </w:tbl>
    <w:p>
      <w:pPr>
        <w:pStyle w:val="BodyText"/>
      </w:pPr>
      <w:r>
        <w:t xml:space="preserve">And two names in the lowest quartile —</w:t>
      </w:r>
      <w:r>
        <w:t xml:space="preserve"> </w:t>
      </w:r>
      <w:r>
        <w:rPr>
          <w:bCs/>
          <w:b/>
        </w:rPr>
        <w:t xml:space="preserve">Latoya</w:t>
      </w:r>
      <w:r>
        <w:t xml:space="preserve"> </w:t>
      </w:r>
      <w:r>
        <w:t xml:space="preserve">and</w:t>
      </w:r>
      <w:r>
        <w:t xml:space="preserve"> </w:t>
      </w:r>
      <w:r>
        <w:rPr>
          <w:bCs/>
          <w:b/>
        </w:rPr>
        <w:t xml:space="preserve">Tamika</w:t>
      </w:r>
      <w:r>
        <w:t xml:space="preserve"> </w:t>
      </w:r>
      <w:r>
        <w:t xml:space="preserve">— were retained, which the same rule would have excluded. The exclusion therefore removed two names it had no ground to remove and kept two it did. Because the exclusion is applied identically across every scenario and condition, it cannot generate a spurious identity contrast; its effect is on which names constitute the cue, not on the comparison between cues. We report it because it was an unsourced intervention presented as a sourced one, and because it is not reproducible from the citation given.</w:t>
      </w:r>
    </w:p>
    <w:p>
      <w:pPr>
        <w:pStyle w:val="BodyText"/>
      </w:pPr>
      <w:r>
        <w:rPr>
          <w:iCs/>
          <w:i/>
        </w:rPr>
        <w:t xml:space="preserve">Second, and more consequentially, the two pools are not balanced on the SES correlate.</w:t>
      </w:r>
      <w:r>
        <w:t xml:space="preserve"> </w:t>
      </w:r>
      <w:r>
        <w:t xml:space="preserve">Pool A is 11 of 18 highest-quartile and contains no lowest-quartile name; Pool B contains no highest-quartile name and two lowest-quartile names. This is precisely the confound Gaddis (2017) identifies: a raw Bertrand–Mullainathan contrast varies perceived race and perceived class together.</w:t>
      </w:r>
      <w:r>
        <w:t xml:space="preserve"> </w:t>
      </w:r>
      <w:r>
        <w:rPr>
          <w:bCs/>
          <w:b/>
        </w:rPr>
        <w:t xml:space="preserve">The C1/C2 contrast in this paper must therefore be read as a joint race-and-class cue, not as a clean race cue,</w:t>
      </w:r>
      <w:r>
        <w:t xml:space="preserve"> </w:t>
      </w:r>
      <w:r>
        <w:t xml:space="preserve">and §3, §4.3 and §10 are written accordingly.</w:t>
      </w:r>
    </w:p>
    <w:p>
      <w:pPr>
        <w:pStyle w:val="BodyText"/>
      </w:pPr>
      <w:r>
        <w:rPr>
          <w:bCs/>
          <w:b/>
        </w:rPr>
        <w:t xml:space="preserve">Why the results survive this.</w:t>
      </w:r>
      <w:r>
        <w:t xml:space="preserve"> </w:t>
      </w:r>
      <w:r>
        <w:t xml:space="preserve">The confound runs in a single direction: the Pool A names signal both higher-status race and higher-status class, and the Pool B names the reverse. Any steering or opportunity-loss mechanism operating on either attribute would push the C1/C2 contrast the</w:t>
      </w:r>
      <w:r>
        <w:t xml:space="preserve"> </w:t>
      </w:r>
      <w:r>
        <w:rPr>
          <w:iCs/>
          <w:i/>
        </w:rPr>
        <w:t xml:space="preserve">same</w:t>
      </w:r>
      <w:r>
        <w:t xml:space="preserve"> </w:t>
      </w:r>
      <w:r>
        <w:t xml:space="preserve">way, so the design is biased</w:t>
      </w:r>
      <w:r>
        <w:t xml:space="preserve"> </w:t>
      </w:r>
      <w:r>
        <w:rPr>
          <w:bCs/>
          <w:b/>
        </w:rPr>
        <w:t xml:space="preserve">toward</w:t>
      </w:r>
      <w:r>
        <w:t xml:space="preserve"> </w:t>
      </w:r>
      <w:r>
        <w:t xml:space="preserve">detecting a difference. We detect none — 47 of 48 contrasts null in §8.4, and 105 of 105 null in §8.11, with replicate noise exceeding between-condition variance throughout. A null under a confound that should amplify the effect is stronger evidence of absence than a null under a clean cue, not weaker. What the confound does forbid is the</w:t>
      </w:r>
      <w:r>
        <w:t xml:space="preserve"> </w:t>
      </w:r>
      <w:r>
        <w:rPr>
          <w:iCs/>
          <w:i/>
        </w:rPr>
        <w:t xml:space="preserve">decomposition</w:t>
      </w:r>
      <w:r>
        <w:t xml:space="preserve">: we cannot say whether the absent effect is absent for race, for class, or for both, and we do not claim to.</w:t>
      </w:r>
    </w:p>
    <w:p>
      <w:pPr>
        <w:pStyle w:val="BodyText"/>
      </w:pPr>
      <w:r>
        <w:rPr>
          <w:bCs/>
          <w:b/>
        </w:rPr>
        <w:t xml:space="preserve">What would close this properly.</w:t>
      </w:r>
      <w:r>
        <w:t xml:space="preserve"> </w:t>
      </w:r>
      <w:r>
        <w:t xml:space="preserve">Per-name numeric scores for both perceived race and perceived social class, obtained as data rather than read off a figure. Crabtree et al. (2022) is the correct source for the class dimension and Gaddis (2017) for race; both are open access, and the underlying per-name estimates would need to be requested from the authors or taken from a replication archive. With those in hand the correct procedure is to rebuild both pools matched on perceived class and re-run C1/C2 — which is a new data collection, not a re-analysis. Until then C1/C2 stands as a joint cue and the voucher contrast C3, which requires no name instrument at all, carries the identity analysis.</w:t>
      </w:r>
    </w:p>
    <w:bookmarkEnd w:id="79"/>
    <w:bookmarkStart w:id="80"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80"/>
    <w:bookmarkStart w:id="81"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p>
    <w:p>
      <w:pPr>
        <w:numPr>
          <w:ilvl w:val="0"/>
          <w:numId w:val="1013"/>
        </w:numPr>
      </w:pP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 — partially closed, and rescoped.</w:t>
      </w:r>
      <w:r>
        <w:t xml:space="preserve"> </w:t>
      </w:r>
      <w:r>
        <w:t xml:space="preserve">The objective SES correlate is now recovered exactly from Gaddis (2017) Table 1 and reported for all 36 names; Appendix B has no remaining placeholder. What is</w:t>
      </w:r>
      <w:r>
        <w:t xml:space="preserve"> </w:t>
      </w:r>
      <w:r>
        <w:rPr>
          <w:iCs/>
          <w:i/>
        </w:rPr>
        <w:t xml:space="preserve">not</w:t>
      </w:r>
      <w:r>
        <w:t xml:space="preserve"> </w:t>
      </w:r>
      <w:r>
        <w:t xml:space="preserve">closed is the per-name numeric score for perceived race and perceived social class, because neither source tabulates them — Gaddis (2017) reports per-name perceived race only in raster figures, and per-name perceived</w:t>
      </w:r>
      <w:r>
        <w:t xml:space="preserve"> </w:t>
      </w:r>
      <w:r>
        <w:rPr>
          <w:iCs/>
          <w:i/>
        </w:rPr>
        <w:t xml:space="preserve">class</w:t>
      </w:r>
      <w:r>
        <w:t xml:space="preserve"> </w:t>
      </w:r>
      <w:r>
        <w:t xml:space="preserve">is not in that paper at all but in Crabtree et al. (2022), also as a figure. Reading values off those charts would fabricate precision, so we did not.</w:t>
      </w:r>
    </w:p>
    <w:p>
      <w:pPr>
        <w:numPr>
          <w:ilvl w:val="0"/>
          <w:numId w:val="1000"/>
        </w:numPr>
      </w:pPr>
      <w:r>
        <w:t xml:space="preserve">The original framing of this item was wrong in two ways worth recording. It attributed perceived-SES scores to Gaddis (2017), which does not measure them; and it treated the absence of scores as leaving C1/C2 simply</w:t>
      </w:r>
      <w:r>
        <w:t xml:space="preserve"> </w:t>
      </w:r>
      <w:r>
        <w:t xml:space="preserve">“</w:t>
      </w:r>
      <w:r>
        <w:t xml:space="preserve">unvalidated</w:t>
      </w:r>
      <w:r>
        <w:t xml:space="preserve">”</w:t>
      </w:r>
      <w:r>
        <w:t xml:space="preserve">. The recovered quartile data shows something more specific and more useful: the pools are systematically unbalanced on the SES correlate, so C1/C2 is a joint race-and-class cue whose confound biases</w:t>
      </w:r>
      <w:r>
        <w:t xml:space="preserve"> </w:t>
      </w:r>
      <w:r>
        <w:rPr>
          <w:iCs/>
          <w:i/>
        </w:rPr>
        <w:t xml:space="preserve">toward</w:t>
      </w:r>
      <w:r>
        <w:t xml:space="preserve"> </w:t>
      </w:r>
      <w:r>
        <w:t xml:space="preserve">detecting an effect. Closing this item properly means obtaining per-name estimates as data from the authors or a replication archive, rebuilding both pools matched on perceived class, and re-running C1/C2 — a new collection, not a re-analysis. Until then C3 (voucher) carries the identity analysis, and it needs no name instrument.</w:t>
      </w:r>
    </w:p>
    <w:p>
      <w:pPr>
        <w:numPr>
          <w:ilvl w:val="0"/>
          <w:numId w:val="1013"/>
        </w:numPr>
      </w:pP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p>
    <w:p>
      <w:pPr>
        <w:numPr>
          <w:ilvl w:val="0"/>
          <w:numId w:val="1013"/>
        </w:numPr>
      </w:pP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p>
    <w:p>
      <w:pPr>
        <w:numPr>
          <w:ilvl w:val="0"/>
          <w:numId w:val="1013"/>
        </w:numPr>
      </w:pP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 completed.</w:t>
      </w:r>
      <w:r>
        <w:t xml:space="preserve"> </w:t>
      </w:r>
      <w:r>
        <w:t xml:space="preserve">The Census API key was obtained and the covariates retrieved for all 2,327 New York tracts (</w:t>
      </w:r>
      <w:r>
        <w:rPr>
          <w:rStyle w:val="VerbatimChar"/>
        </w:rPr>
        <w:t xml:space="preserve">code/17_fetch_acs.py</w:t>
      </w:r>
      <w:r>
        <w:t xml:space="preserve">). This closed the two items previously listed here: the ACS borough column of Table 2b, and the S3 neighborhood-exposure measure, now reported in §8.11. Three notes for anyone reproducing this:</w:t>
      </w:r>
    </w:p>
    <w:p>
      <w:pPr>
        <w:numPr>
          <w:ilvl w:val="0"/>
          <w:numId w:val="1000"/>
        </w:numPr>
      </w:pPr>
      <w:r>
        <w:rPr>
          <w:iCs/>
          <w:i/>
        </w:rPr>
        <w:t xml:space="preserve">Failure modes are silent.</w:t>
      </w:r>
      <w:r>
        <w:t xml:space="preserve"> </w:t>
      </w:r>
      <w:r>
        <w:t xml:space="preserve">An unauthenticated request returns HTTP 200 and redirects to an HTML page titled</w:t>
      </w:r>
      <w:r>
        <w:t xml:space="preserve"> </w:t>
      </w:r>
      <w:r>
        <w:t xml:space="preserve">“</w:t>
      </w:r>
      <w:r>
        <w:t xml:space="preserve">Missing Key</w:t>
      </w:r>
      <w:r>
        <w:t xml:space="preserve">”</w:t>
      </w:r>
      <w:r>
        <w:t xml:space="preserve">; an unactivated key returns HTTP 200 with</w:t>
      </w:r>
      <w:r>
        <w:t xml:space="preserve"> </w:t>
      </w:r>
      <w:r>
        <w:t xml:space="preserve">“</w:t>
      </w:r>
      <w:r>
        <w:t xml:space="preserve">Invalid Key</w:t>
      </w:r>
      <w:r>
        <w:t xml:space="preserve">”</w:t>
      </w:r>
      <w:r>
        <w:t xml:space="preserve">. Neither raises an exception and neither is distinguishable by status code. Check the response body.</w:t>
      </w:r>
    </w:p>
    <w:p>
      <w:pPr>
        <w:numPr>
          <w:ilvl w:val="0"/>
          <w:numId w:val="1000"/>
        </w:numPr>
      </w:pPr>
      <w:r>
        <w:rPr>
          <w:iCs/>
          <w:i/>
        </w:rPr>
        <w:t xml:space="preserve">The key must be activated by email link</w:t>
      </w:r>
      <w:r>
        <w:t xml:space="preserve">, and there is a delay of a minute or two after activation before it is honoured. An immediate retry may fail where a retry ninety seconds later succeeds.</w:t>
      </w:r>
    </w:p>
    <w:p>
      <w:pPr>
        <w:numPr>
          <w:ilvl w:val="0"/>
          <w:numId w:val="1000"/>
        </w:numPr>
      </w:pPr>
      <w:r>
        <w:rPr>
          <w:iCs/>
          <w:i/>
        </w:rPr>
        <w:t xml:space="preserve">The key travels in the query string</w:t>
      </w:r>
      <w:r>
        <w:t xml:space="preserve">, so an unguarded traceback will print it:</w:t>
      </w:r>
      <w:r>
        <w:t xml:space="preserve"> </w:t>
      </w:r>
      <w:r>
        <w:rPr>
          <w:rStyle w:val="VerbatimChar"/>
        </w:rPr>
        <w:t xml:space="preserve">urllib</w:t>
      </w:r>
      <w:r>
        <w:t xml:space="preserve"> </w:t>
      </w:r>
      <w:r>
        <w:t xml:space="preserve">includes the full URL in its exception messages.</w:t>
      </w:r>
      <w:r>
        <w:t xml:space="preserve"> </w:t>
      </w:r>
      <w:r>
        <w:rPr>
          <w:rStyle w:val="VerbatimChar"/>
        </w:rPr>
        <w:t xml:space="preserve">code/17_fetch_acs.py</w:t>
      </w:r>
      <w:r>
        <w:t xml:space="preserve"> </w:t>
      </w:r>
      <w:r>
        <w:t xml:space="preserve">redacts the key from every exception it re-raises for this reason.</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2026-09-08T21:58:49Z</dcterms:created>
  <dcterms:modified xsi:type="dcterms:W3CDTF">2026-09-08T21:58:49Z</dcterms:modified>
</cp:coreProperties>
</file>

<file path=docProps/custom.xml><?xml version="1.0" encoding="utf-8"?>
<Properties xmlns="http://schemas.openxmlformats.org/officeDocument/2006/custom-properties" xmlns:vt="http://schemas.openxmlformats.org/officeDocument/2006/docPropsVTypes"/>
</file>