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spacing w:after="200"/>
      </w:pPr>
    </w:p>
    <w:p>
      <w:pPr>
        <w:spacing w:after="240"/>
        <w:jc w:val="center"/>
      </w:pPr>
      <w:r>
        <w:rPr>
          <w:rFonts w:ascii="Calibri" w:hAnsi="Calibri"/>
          <w:color w:val="1F4E79"/>
          <w:sz w:val="60"/>
        </w:rPr>
        <w:t>Atlas Enterprise Platform</w:t>
      </w:r>
    </w:p>
    <w:p>
      <w:pPr>
        <w:spacing w:after="160"/>
        <w:jc w:val="center"/>
      </w:pPr>
      <w:r>
        <w:rPr>
          <w:rFonts w:ascii="Calibri" w:hAnsi="Calibri"/>
          <w:i/>
          <w:color w:val="2E5F64"/>
          <w:sz w:val="32"/>
        </w:rPr>
        <w:t>Software Architecture Course</w:t>
      </w:r>
    </w:p>
    <w:p>
      <w:pPr>
        <w:spacing w:after="200"/>
        <w:jc w:val="center"/>
      </w:pPr>
      <w:r>
        <w:rPr>
          <w:rFonts w:ascii="Calibri" w:hAnsi="Calibri"/>
          <w:b/>
          <w:color w:val="2E74B5"/>
          <w:sz w:val="44"/>
        </w:rPr>
        <w:t>Review &amp; Update Edition</w:t>
      </w:r>
    </w:p>
    <w:p>
      <w:pPr>
        <w:spacing w:after="160"/>
        <w:jc w:val="center"/>
      </w:pPr>
      <w:r>
        <w:rPr>
          <w:rFonts w:ascii="Calibri" w:hAnsi="Calibri"/>
          <w:i/>
          <w:color w:val="202020"/>
          <w:sz w:val="22"/>
        </w:rPr>
        <w:t>Condensed editorial control copy for structured review, maintenance, and future revision.</w:t>
      </w:r>
    </w:p>
    <w:p>
      <w:pPr>
        <w:jc w:val="center"/>
      </w:pPr>
      <w:r>
        <w:rPr>
          <w:rFonts w:ascii="Calibri" w:hAnsi="Calibri"/>
          <w:color w:val="666666"/>
          <w:sz w:val="20"/>
        </w:rPr>
        <w:t>Prepared July 29, 2026</w:t>
      </w:r>
    </w:p>
    <w:p>
      <w:r>
        <w:br w:type="page"/>
      </w:r>
    </w:p>
    <w:p>
      <w:pPr>
        <w:pStyle w:val="Heading2"/>
      </w:pPr>
      <w:r>
        <w:rPr>
          <w:rFonts w:ascii="Calibri" w:hAnsi="Calibri"/>
          <w:b w:val="0"/>
          <w:i w:val="0"/>
          <w:color w:val="2E74B5"/>
          <w:sz w:val="26"/>
        </w:rPr>
        <w:t>How to Use This Edition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This is a condensed editorial edition, not a verbatim transcript of the narrated course.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Review one lesson brief at a time and use its Update Notes fields to capture revisions.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Keep the narrated course as the teaching edition and this document as the maintainable control copy.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When an architectural decision changes, update the lesson brief, ADR register, current/target state, and related fitness functions together.</w:t>
      </w:r>
    </w:p>
    <w:p>
      <w:pPr>
        <w:pStyle w:val="Heading2"/>
      </w:pPr>
      <w:r>
        <w:rPr>
          <w:rFonts w:ascii="Calibri" w:hAnsi="Calibri"/>
          <w:b w:val="0"/>
          <w:i w:val="0"/>
          <w:color w:val="2E74B5"/>
          <w:sz w:val="26"/>
        </w:rPr>
        <w:t>Review Status Key</w:t>
      </w:r>
    </w:p>
    <w:tbl>
      <w:tblPr>
        <w:tblStyle w:val="TableGrid"/>
        <w:tblW w:type="dxa" w:w="9360"/>
        <w:tblLayout w:type="fixed"/>
        <w:tblLook w:firstColumn="1" w:firstRow="1" w:lastColumn="0" w:lastRow="0" w:noHBand="0" w:noVBand="1" w:val="04A0"/>
        <w:tblInd w:w="120" w:type="dxa"/>
      </w:tblPr>
      <w:tblGrid>
        <w:gridCol w:w="1728"/>
        <w:gridCol w:w="4032"/>
        <w:gridCol w:w="3600"/>
      </w:tblGrid>
      <w:tr>
        <w:trPr>
          <w:cantSplit/>
          <w:trHeight w:hRule="atLeast"/>
          <w:tblHeader w:val="true"/>
        </w:trPr>
        <w:tc>
          <w:tcPr>
            <w:tcW w:type="dxa" w:w="1728"/>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Status</w:t>
            </w:r>
          </w:p>
        </w:tc>
        <w:tc>
          <w:tcPr>
            <w:tcW w:type="dxa" w:w="403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Meaning</w:t>
            </w:r>
          </w:p>
        </w:tc>
        <w:tc>
          <w:tcPr>
            <w:tcW w:type="dxa" w:w="36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Action</w:t>
            </w:r>
          </w:p>
        </w:tc>
      </w:tr>
      <w:tr>
        <w:trPr>
          <w:cantSplit/>
          <w:trHeight w:hRule="atLeast"/>
        </w:trPr>
        <w:tc>
          <w:tcPr>
            <w:tcW w:type="dxa" w:w="1728"/>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c>
          <w:tcPr>
            <w:tcW w:type="dxa" w:w="4032"/>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No editorial pass completed</w:t>
            </w:r>
          </w:p>
        </w:tc>
        <w:tc>
          <w:tcPr>
            <w:tcW w:type="dxa" w:w="36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Read and annotate</w:t>
            </w:r>
          </w:p>
        </w:tc>
      </w:tr>
      <w:tr>
        <w:trPr>
          <w:cantSplit/>
          <w:trHeight w:hRule="atLeast"/>
        </w:trPr>
        <w:tc>
          <w:tcPr>
            <w:tcW w:type="dxa" w:w="1728"/>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Revise</w:t>
            </w:r>
          </w:p>
        </w:tc>
        <w:tc>
          <w:tcPr>
            <w:tcW w:type="dxa" w:w="4032"/>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Content or structure should change</w:t>
            </w:r>
          </w:p>
        </w:tc>
        <w:tc>
          <w:tcPr>
            <w:tcW w:type="dxa" w:w="36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Create a specific revision</w:t>
            </w:r>
          </w:p>
        </w:tc>
      </w:tr>
      <w:tr>
        <w:trPr>
          <w:cantSplit/>
          <w:trHeight w:hRule="atLeast"/>
        </w:trPr>
        <w:tc>
          <w:tcPr>
            <w:tcW w:type="dxa" w:w="1728"/>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Validated</w:t>
            </w:r>
          </w:p>
        </w:tc>
        <w:tc>
          <w:tcPr>
            <w:tcW w:type="dxa" w:w="4032"/>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Accurately reflects current Atlas direction</w:t>
            </w:r>
          </w:p>
        </w:tc>
        <w:tc>
          <w:tcPr>
            <w:tcW w:type="dxa" w:w="36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Preserve unless assumptions change</w:t>
            </w:r>
          </w:p>
        </w:tc>
      </w:tr>
      <w:tr>
        <w:trPr>
          <w:cantSplit/>
          <w:trHeight w:hRule="atLeast"/>
        </w:trPr>
        <w:tc>
          <w:tcPr>
            <w:tcW w:type="dxa" w:w="1728"/>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Superseded</w:t>
            </w:r>
          </w:p>
        </w:tc>
        <w:tc>
          <w:tcPr>
            <w:tcW w:type="dxa" w:w="4032"/>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Replaced by a later architectural direction</w:t>
            </w:r>
          </w:p>
        </w:tc>
        <w:tc>
          <w:tcPr>
            <w:tcW w:type="dxa" w:w="36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Retain history and link replacement</w:t>
            </w:r>
          </w:p>
        </w:tc>
      </w:tr>
    </w:tbl>
    <w:p>
      <w:pPr>
        <w:spacing w:before="0" w:after="40"/>
      </w:pPr>
    </w:p>
    <w:p>
      <w:pPr>
        <w:pStyle w:val="Heading2"/>
      </w:pPr>
      <w:r>
        <w:rPr>
          <w:rFonts w:ascii="Calibri" w:hAnsi="Calibri"/>
          <w:b w:val="0"/>
          <w:i w:val="0"/>
          <w:color w:val="2E74B5"/>
          <w:sz w:val="26"/>
        </w:rPr>
        <w:t>Lifecycle Vocabulary</w:t>
      </w:r>
    </w:p>
    <w:p>
      <w:r>
        <w:rPr>
          <w:rFonts w:ascii="Calibri" w:hAnsi="Calibri"/>
          <w:b w:val="0"/>
          <w:i w:val="0"/>
          <w:color w:val="202020"/>
          <w:sz w:val="22"/>
        </w:rPr>
        <w:t>The review edition and teaching chapters track different work:</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Editorial-review status:</w:t>
      </w:r>
      <w:r>
        <w:rPr>
          <w:rFonts w:ascii="Calibri" w:hAnsi="Calibri"/>
          <w:b w:val="0"/>
          <w:i w:val="0"/>
          <w:color w:val="202020"/>
          <w:sz w:val="22"/>
        </w:rPr>
        <w:t xml:space="preserve"> Unreviewed, Revise, Validated, or Superseded. This records whether a lesson brief still reflects the agreed Atlas direction.</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Teaching-chapter status:</w:t>
      </w:r>
      <w:r>
        <w:rPr>
          <w:rFonts w:ascii="Calibri" w:hAnsi="Calibri"/>
          <w:b w:val="0"/>
          <w:i w:val="0"/>
          <w:color w:val="202020"/>
          <w:sz w:val="22"/>
        </w:rPr>
        <w:t xml:space="preserve"> Draft, Technical Review, Editorial Review, or Ready. This records whether the narrated learning asset is ready to publish.</w:t>
      </w:r>
    </w:p>
    <w:p>
      <w:r>
        <w:rPr>
          <w:rFonts w:ascii="Calibri" w:hAnsi="Calibri"/>
          <w:b w:val="0"/>
          <w:i w:val="0"/>
          <w:color w:val="202020"/>
          <w:sz w:val="22"/>
        </w:rPr>
        <w:t>A teaching chapter may be in Draft while its underlying review brief is Validated. Neither status implies that a detailed implementation claim has been verified.</w:t>
      </w:r>
    </w:p>
    <w:p>
      <w:pPr>
        <w:pStyle w:val="Heading2"/>
      </w:pPr>
      <w:r>
        <w:rPr>
          <w:rFonts w:ascii="Calibri" w:hAnsi="Calibri"/>
          <w:b w:val="0"/>
          <w:i w:val="0"/>
          <w:color w:val="2E74B5"/>
          <w:sz w:val="26"/>
        </w:rPr>
        <w:t>Terminology Convention</w:t>
      </w:r>
    </w:p>
    <w:p>
      <w:r>
        <w:rPr>
          <w:rFonts w:ascii="Calibri" w:hAnsi="Calibri"/>
          <w:b w:val="0"/>
          <w:i w:val="0"/>
          <w:color w:val="202020"/>
          <w:sz w:val="22"/>
        </w:rPr>
        <w:t xml:space="preserve">Use </w:t>
      </w:r>
      <w:r>
        <w:rPr>
          <w:rFonts w:ascii="Calibri" w:hAnsi="Calibri"/>
          <w:b/>
          <w:i w:val="0"/>
          <w:color w:val="202020"/>
          <w:sz w:val="22"/>
        </w:rPr>
        <w:t>canonical shipment model</w:t>
      </w:r>
      <w:r>
        <w:rPr>
          <w:rFonts w:ascii="Calibri" w:hAnsi="Calibri"/>
          <w:b w:val="0"/>
          <w:i w:val="0"/>
          <w:color w:val="202020"/>
          <w:sz w:val="22"/>
        </w:rPr>
        <w:t xml:space="preserve"> as the preferred Atlas-specific term. Use </w:t>
      </w:r>
      <w:r>
        <w:rPr>
          <w:rFonts w:ascii="Calibri" w:hAnsi="Calibri"/>
          <w:b/>
          <w:i w:val="0"/>
          <w:color w:val="202020"/>
          <w:sz w:val="22"/>
        </w:rPr>
        <w:t>canonical domain model</w:t>
      </w:r>
      <w:r>
        <w:rPr>
          <w:rFonts w:ascii="Calibri" w:hAnsi="Calibri"/>
          <w:b w:val="0"/>
          <w:i w:val="0"/>
          <w:color w:val="202020"/>
          <w:sz w:val="22"/>
        </w:rPr>
        <w:t xml:space="preserve"> only when discussing the broader architectural pattern. Carrier-specific request and response models remain at the integration boundary.</w:t>
      </w:r>
    </w:p>
    <w:p>
      <w:pPr>
        <w:pStyle w:val="Heading2"/>
        <w:pageBreakBefore/>
      </w:pPr>
      <w:r>
        <w:rPr>
          <w:rFonts w:ascii="Calibri" w:hAnsi="Calibri"/>
          <w:b w:val="0"/>
          <w:i w:val="0"/>
          <w:color w:val="2E74B5"/>
          <w:sz w:val="26"/>
        </w:rPr>
        <w:t>Course Map</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1 — The Business Problem</w:t>
      </w:r>
      <w:r>
        <w:rPr>
          <w:rFonts w:ascii="Calibri" w:hAnsi="Calibri"/>
          <w:b w:val="0"/>
          <w:i w:val="0"/>
          <w:color w:val="202020"/>
          <w:sz w:val="22"/>
        </w:rPr>
        <w:t xml:space="preserve"> — Finding the Domain Before Choosing the Framework</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2 — Following a Shipment</w:t>
      </w:r>
      <w:r>
        <w:rPr>
          <w:rFonts w:ascii="Calibri" w:hAnsi="Calibri"/>
          <w:b w:val="0"/>
          <w:i w:val="0"/>
          <w:color w:val="202020"/>
          <w:sz w:val="22"/>
        </w:rPr>
        <w:t xml:space="preserve"> — Responsibility, Dependency Direction, and the Request Path</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3 — The Shipment Leaves a Message</w:t>
      </w:r>
      <w:r>
        <w:rPr>
          <w:rFonts w:ascii="Calibri" w:hAnsi="Calibri"/>
          <w:b w:val="0"/>
          <w:i w:val="0"/>
          <w:color w:val="202020"/>
          <w:sz w:val="22"/>
        </w:rPr>
        <w:t xml:space="preserve"> — Events, Asynchronous Reactions, and Reliable Publication</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4 — Observability</w:t>
      </w:r>
      <w:r>
        <w:rPr>
          <w:rFonts w:ascii="Calibri" w:hAnsi="Calibri"/>
          <w:b w:val="0"/>
          <w:i w:val="0"/>
          <w:color w:val="202020"/>
          <w:sz w:val="22"/>
        </w:rPr>
        <w:t xml:space="preserve"> — Making Atlas Explain Its Behavior</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5 — Security</w:t>
      </w:r>
      <w:r>
        <w:rPr>
          <w:rFonts w:ascii="Calibri" w:hAnsi="Calibri"/>
          <w:b w:val="0"/>
          <w:i w:val="0"/>
          <w:color w:val="202020"/>
          <w:sz w:val="22"/>
        </w:rPr>
        <w:t xml:space="preserve"> — Identity, Authority, Data Protection, and Supply-Chain Boundaries</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6 — Architectural Tradeoffs</w:t>
      </w:r>
      <w:r>
        <w:rPr>
          <w:rFonts w:ascii="Calibri" w:hAnsi="Calibri"/>
          <w:b w:val="0"/>
          <w:i w:val="0"/>
          <w:color w:val="202020"/>
          <w:sz w:val="22"/>
        </w:rPr>
        <w:t xml:space="preserve"> — Part 1 — Simplicity Versus Flexibility</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6 — Architectural Tradeoffs</w:t>
      </w:r>
      <w:r>
        <w:rPr>
          <w:rFonts w:ascii="Calibri" w:hAnsi="Calibri"/>
          <w:b w:val="0"/>
          <w:i w:val="0"/>
          <w:color w:val="202020"/>
          <w:sz w:val="22"/>
        </w:rPr>
        <w:t xml:space="preserve"> — Part 2 — Consistency Versus Availability</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6 — Architectural Tradeoffs</w:t>
      </w:r>
      <w:r>
        <w:rPr>
          <w:rFonts w:ascii="Calibri" w:hAnsi="Calibri"/>
          <w:b w:val="0"/>
          <w:i w:val="0"/>
          <w:color w:val="202020"/>
          <w:sz w:val="22"/>
        </w:rPr>
        <w:t xml:space="preserve"> — Part 3 — Performance Versus Reliability</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6 — Architectural Tradeoffs</w:t>
      </w:r>
      <w:r>
        <w:rPr>
          <w:rFonts w:ascii="Calibri" w:hAnsi="Calibri"/>
          <w:b w:val="0"/>
          <w:i w:val="0"/>
          <w:color w:val="202020"/>
          <w:sz w:val="22"/>
        </w:rPr>
        <w:t xml:space="preserve"> — Part 4 — Delivery Speed Versus Operational Safety</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7 — Evolutionary Architecture</w:t>
      </w:r>
      <w:r>
        <w:rPr>
          <w:rFonts w:ascii="Calibri" w:hAnsi="Calibri"/>
          <w:b w:val="0"/>
          <w:i w:val="0"/>
          <w:color w:val="202020"/>
          <w:sz w:val="22"/>
        </w:rPr>
        <w:t xml:space="preserve"> — Part 1 — Architecture That Can Detect Its Own Decay</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7 — Evolutionary Architecture</w:t>
      </w:r>
      <w:r>
        <w:rPr>
          <w:rFonts w:ascii="Calibri" w:hAnsi="Calibri"/>
          <w:b w:val="0"/>
          <w:i w:val="0"/>
          <w:color w:val="202020"/>
          <w:sz w:val="22"/>
        </w:rPr>
        <w:t xml:space="preserve"> — Part 2 — Safe Evolution</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7 — Evolutionary Architecture</w:t>
      </w:r>
      <w:r>
        <w:rPr>
          <w:rFonts w:ascii="Calibri" w:hAnsi="Calibri"/>
          <w:b w:val="0"/>
          <w:i w:val="0"/>
          <w:color w:val="202020"/>
          <w:sz w:val="22"/>
        </w:rPr>
        <w:t xml:space="preserve"> — Part 3 — Architecture Ownership</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7 — Evolutionary Architecture</w:t>
      </w:r>
      <w:r>
        <w:rPr>
          <w:rFonts w:ascii="Calibri" w:hAnsi="Calibri"/>
          <w:b w:val="0"/>
          <w:i w:val="0"/>
          <w:color w:val="202020"/>
          <w:sz w:val="22"/>
        </w:rPr>
        <w:t xml:space="preserve"> — Part 4 — Architecture Decision Records</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8 — The Architect’s Method</w:t>
      </w:r>
      <w:r>
        <w:rPr>
          <w:rFonts w:ascii="Calibri" w:hAnsi="Calibri"/>
          <w:b w:val="0"/>
          <w:i w:val="0"/>
          <w:color w:val="202020"/>
          <w:sz w:val="22"/>
        </w:rPr>
        <w:t xml:space="preserve"> — Part 1 — Begin With the Problem, Not the Technology</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8 — The Architect’s Method</w:t>
      </w:r>
      <w:r>
        <w:rPr>
          <w:rFonts w:ascii="Calibri" w:hAnsi="Calibri"/>
          <w:b w:val="0"/>
          <w:i w:val="0"/>
          <w:color w:val="202020"/>
          <w:sz w:val="22"/>
        </w:rPr>
        <w:t xml:space="preserve"> — Part 2 — From Model to Blueprint</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8 — The Architect’s Method</w:t>
      </w:r>
      <w:r>
        <w:rPr>
          <w:rFonts w:ascii="Calibri" w:hAnsi="Calibri"/>
          <w:b w:val="0"/>
          <w:i w:val="0"/>
          <w:color w:val="202020"/>
          <w:sz w:val="22"/>
        </w:rPr>
        <w:t xml:space="preserve"> — Part 3 — Architecture in Practice</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Chapter 8 — The Architect’s Method</w:t>
      </w:r>
      <w:r>
        <w:rPr>
          <w:rFonts w:ascii="Calibri" w:hAnsi="Calibri"/>
          <w:b w:val="0"/>
          <w:i w:val="0"/>
          <w:color w:val="202020"/>
          <w:sz w:val="22"/>
        </w:rPr>
        <w:t xml:space="preserve"> — Part 4 — Communicating Architecture</w:t>
      </w:r>
    </w:p>
    <w:p>
      <w:pPr>
        <w:pStyle w:val="Heading1"/>
        <w:pageBreakBefore/>
      </w:pPr>
      <w:r>
        <w:rPr>
          <w:rFonts w:ascii="Calibri" w:hAnsi="Calibri"/>
          <w:b w:val="0"/>
          <w:i w:val="0"/>
          <w:color w:val="2E74B5"/>
          <w:sz w:val="32"/>
        </w:rPr>
        <w:t>Chapter 1 — The Business Problem</w:t>
      </w:r>
    </w:p>
    <w:p>
      <w:pPr>
        <w:pStyle w:val="Heading2"/>
      </w:pPr>
      <w:r>
        <w:rPr>
          <w:rFonts w:ascii="Calibri" w:hAnsi="Calibri"/>
          <w:b w:val="0"/>
          <w:i w:val="0"/>
          <w:color w:val="2E74B5"/>
          <w:sz w:val="26"/>
        </w:rPr>
        <w:t>Finding the Domain Before Choosing the Framework</w:t>
      </w:r>
    </w:p>
    <w:p>
      <w:pPr>
        <w:pStyle w:val="Heading3"/>
      </w:pPr>
      <w:r>
        <w:rPr>
          <w:rFonts w:ascii="Calibri" w:hAnsi="Calibri"/>
          <w:b w:val="0"/>
          <w:i w:val="0"/>
          <w:color w:val="1F4E79"/>
          <w:sz w:val="24"/>
        </w:rPr>
        <w:t>Lesson Summary</w:t>
      </w:r>
    </w:p>
    <w:p>
      <w:r>
        <w:rPr>
          <w:rFonts w:ascii="Calibri" w:hAnsi="Calibri"/>
          <w:b w:val="0"/>
          <w:i w:val="0"/>
          <w:color w:val="202020"/>
          <w:sz w:val="22"/>
        </w:rPr>
        <w:t>Atlas begins as a response to carrier integration pressure. Internal systems need one reliable shipment interface while carriers expose different APIs, authentication models, data structures, and failure semantics. The chapter establishes the canonical model, domain language, separation of concerns, and the rule that extensibility must follow demonstrated variation.</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Business outcome before technology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Canonical shipment model</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Carrier variation behind adapters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Domain ownership and ubiquitous language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Separation of concerns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Avoid speculative generality</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Atlas owns a stable shipment-booking model.</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Carrier-specific representations remain at the integration boundary.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New abstractions are introduced only when a lesson or demonstrated limitation requires them.</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Begin with the business outcome and isolate proven sources of variation behind explicit boundaries.</w:t>
      </w:r>
    </w:p>
    <w:p>
      <w:pPr>
        <w:pStyle w:val="Heading3"/>
      </w:pPr>
      <w:r>
        <w:rPr>
          <w:rFonts w:ascii="Calibri" w:hAnsi="Calibri"/>
          <w:b w:val="0"/>
          <w:i w:val="0"/>
          <w:color w:val="1F4E79"/>
          <w:sz w:val="24"/>
        </w:rPr>
        <w:t>Anti-Pattern</w:t>
      </w:r>
    </w:p>
    <w:p>
      <w:r>
        <w:rPr>
          <w:rFonts w:ascii="Calibri" w:hAnsi="Calibri"/>
          <w:b w:val="0"/>
          <w:i w:val="0"/>
          <w:color w:val="202020"/>
          <w:sz w:val="22"/>
        </w:rPr>
        <w:t>Designing a universal middleware framework before implementing one real shipment journey.</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Can the business problem be explained without naming a framework?</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concepts belong to Atlas rather than a carrier?</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proposed extension points solve demonstrated variation?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2 — Following a Shipment</w:t>
      </w:r>
    </w:p>
    <w:p>
      <w:pPr>
        <w:pStyle w:val="Heading2"/>
      </w:pPr>
      <w:r>
        <w:rPr>
          <w:rFonts w:ascii="Calibri" w:hAnsi="Calibri"/>
          <w:b w:val="0"/>
          <w:i w:val="0"/>
          <w:color w:val="2E74B5"/>
          <w:sz w:val="26"/>
        </w:rPr>
        <w:t>Responsibility, Dependency Direction, and the Request Path</w:t>
      </w:r>
    </w:p>
    <w:p>
      <w:pPr>
        <w:pStyle w:val="Heading3"/>
      </w:pPr>
      <w:r>
        <w:rPr>
          <w:rFonts w:ascii="Calibri" w:hAnsi="Calibri"/>
          <w:b w:val="0"/>
          <w:i w:val="0"/>
          <w:color w:val="1F4E79"/>
          <w:sz w:val="24"/>
        </w:rPr>
        <w:t>Lesson Summary</w:t>
      </w:r>
    </w:p>
    <w:p>
      <w:r>
        <w:rPr>
          <w:rFonts w:ascii="Calibri" w:hAnsi="Calibri"/>
          <w:b w:val="0"/>
          <w:i w:val="0"/>
          <w:color w:val="202020"/>
          <w:sz w:val="22"/>
        </w:rPr>
        <w:t>A shipment request travels through authentication, authorization, validation, application coordination, carrier selection, authentication strategy, and persistence. The lesson uses the complete request path to distinguish orchestration from domain knowledge and demonstrates inversion of control, single responsibility, and explicit dependency direction.</w:t>
      </w:r>
    </w:p>
    <w:p>
      <w:pPr>
        <w:pStyle w:val="Heading3"/>
        <w:pageBreakBefore/>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JWT authentication and tenant context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Authorization at the resource boundary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Controller versus application service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Carrier registry and adapter selection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Carrier authentication strategies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Dependency inversion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Single Responsibility Principle</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Controllers translate transport requests and delegate use cases.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Application services coordinate the workflow but do not own every rule.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Carrier SDK models and authentication details stay inside carrier adapters and strategies.</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Place each decision with the component that has the knowledge and the correct reason to change.</w:t>
      </w:r>
    </w:p>
    <w:p>
      <w:pPr>
        <w:pStyle w:val="Heading3"/>
      </w:pPr>
      <w:r>
        <w:rPr>
          <w:rFonts w:ascii="Calibri" w:hAnsi="Calibri"/>
          <w:b w:val="0"/>
          <w:i w:val="0"/>
          <w:color w:val="1F4E79"/>
          <w:sz w:val="24"/>
        </w:rPr>
        <w:t>Anti-Pattern</w:t>
      </w:r>
    </w:p>
    <w:p>
      <w:r>
        <w:rPr>
          <w:rFonts w:ascii="Calibri" w:hAnsi="Calibri"/>
          <w:b w:val="0"/>
          <w:i w:val="0"/>
          <w:color w:val="202020"/>
          <w:sz w:val="22"/>
        </w:rPr>
        <w:t>A controller that validates security, selects carriers, calls SDKs, writes SQL, and constructs public responses directly.</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Where is tenant identity established?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layer owns business state transitions?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Can carrier authentication change without rewriting shipment orchestration?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3 — The Shipment Leaves a Message</w:t>
      </w:r>
    </w:p>
    <w:p>
      <w:pPr>
        <w:pStyle w:val="Heading2"/>
      </w:pPr>
      <w:r>
        <w:rPr>
          <w:rFonts w:ascii="Calibri" w:hAnsi="Calibri"/>
          <w:b w:val="0"/>
          <w:i w:val="0"/>
          <w:color w:val="2E74B5"/>
          <w:sz w:val="26"/>
        </w:rPr>
        <w:t>Events, Asynchronous Reactions, and Reliable Publication</w:t>
      </w:r>
    </w:p>
    <w:p>
      <w:pPr>
        <w:pStyle w:val="Heading3"/>
      </w:pPr>
      <w:r>
        <w:rPr>
          <w:rFonts w:ascii="Calibri" w:hAnsi="Calibri"/>
          <w:b w:val="0"/>
          <w:i w:val="0"/>
          <w:color w:val="1F4E79"/>
          <w:sz w:val="24"/>
        </w:rPr>
        <w:t>Lesson Summary</w:t>
      </w:r>
    </w:p>
    <w:p>
      <w:r>
        <w:rPr>
          <w:rFonts w:ascii="Calibri" w:hAnsi="Calibri"/>
          <w:b w:val="0"/>
          <w:i w:val="0"/>
          <w:color w:val="202020"/>
          <w:sz w:val="22"/>
        </w:rPr>
        <w:t>Shipment booking is separated from notification, accounting, tracking, and analytics. Atlas publishes durable business facts through a transactional outbox, uses SNS for fan-out, gives each consumer its own SQS queue, accepts at-least-once delivery, and requires bounded retries, dead-letter handling, idempotency, and reconciliation.</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Commands versus events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Synchronous preconditions versus asynchronous reactions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SNS fan-out and consumer-owned SQS queues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At-least-once delivery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Retries, backoff, jitter, and DLQs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Idempotent consumers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Transactional outbox</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Eventual consistency</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Shipment state and event-publication intent commit in one local transaction.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Each independent consumer owns its queue, retries, DLQ, and business effect.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Duplicate delivery is expected and handled rather than denied.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Preserve the authoritative business fact first, then distribute independent reactions through durable and observable messaging.</w:t>
      </w:r>
    </w:p>
    <w:p>
      <w:pPr>
        <w:pStyle w:val="Heading3"/>
      </w:pPr>
      <w:r>
        <w:rPr>
          <w:rFonts w:ascii="Calibri" w:hAnsi="Calibri"/>
          <w:b w:val="0"/>
          <w:i w:val="0"/>
          <w:color w:val="1F4E79"/>
          <w:sz w:val="24"/>
        </w:rPr>
        <w:t>Anti-Pattern</w:t>
      </w:r>
    </w:p>
    <w:p>
      <w:r>
        <w:rPr>
          <w:rFonts w:ascii="Calibri" w:hAnsi="Calibri"/>
          <w:b w:val="0"/>
          <w:i w:val="0"/>
          <w:color w:val="202020"/>
          <w:sz w:val="22"/>
        </w:rPr>
        <w:t>Saving the shipment and publishing directly to the broker as two unrelated writes.</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does ShipmentBooked mean exactly?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downstream work can be delayed?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How does each consumer prevent duplicate business effects?</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4 — Observability</w:t>
      </w:r>
    </w:p>
    <w:p>
      <w:pPr>
        <w:pStyle w:val="Heading2"/>
      </w:pPr>
      <w:r>
        <w:rPr>
          <w:rFonts w:ascii="Calibri" w:hAnsi="Calibri"/>
          <w:b w:val="0"/>
          <w:i w:val="0"/>
          <w:color w:val="2E74B5"/>
          <w:sz w:val="26"/>
        </w:rPr>
        <w:t>Making Atlas Explain Its Behavior</w:t>
      </w:r>
    </w:p>
    <w:p>
      <w:pPr>
        <w:pStyle w:val="Heading3"/>
      </w:pPr>
      <w:r>
        <w:rPr>
          <w:rFonts w:ascii="Calibri" w:hAnsi="Calibri"/>
          <w:b w:val="0"/>
          <w:i w:val="0"/>
          <w:color w:val="1F4E79"/>
          <w:sz w:val="24"/>
        </w:rPr>
        <w:t>Lesson Summary</w:t>
      </w:r>
    </w:p>
    <w:p>
      <w:r>
        <w:rPr>
          <w:rFonts w:ascii="Calibri" w:hAnsi="Calibri"/>
          <w:b w:val="0"/>
          <w:i w:val="0"/>
          <w:color w:val="202020"/>
          <w:sz w:val="22"/>
        </w:rPr>
        <w:t>Logs, metrics, traces, health checks, and service-level objectives are designed around operational questions. The chapter distinguishes liveness, readiness, and business health; connects technical telemetry to business outcomes; and establishes incident response, correlation, release markers, and evidence-driven diagnosis.</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Structured logs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Metrics and bounded labels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Distributed traces and correlation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Liveness, readiness, and startup</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SLI, SLO, and SLA</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Release markers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Incident response and runbooks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Business integrity signals</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Every important operation carries correlation and version context.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Health endpoints do not pretend every dependency is equally critical.</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SLOs are capability-specific and owned.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Instrument the questions operators must answer, not merely the components the system contains.</w:t>
      </w:r>
    </w:p>
    <w:p>
      <w:pPr>
        <w:pStyle w:val="Heading3"/>
      </w:pPr>
      <w:r>
        <w:rPr>
          <w:rFonts w:ascii="Calibri" w:hAnsi="Calibri"/>
          <w:b w:val="0"/>
          <w:i w:val="0"/>
          <w:color w:val="1F4E79"/>
          <w:sz w:val="24"/>
        </w:rPr>
        <w:t>Anti-Pattern</w:t>
      </w:r>
    </w:p>
    <w:p>
      <w:r>
        <w:rPr>
          <w:rFonts w:ascii="Calibri" w:hAnsi="Calibri"/>
          <w:b w:val="0"/>
          <w:i w:val="0"/>
          <w:color w:val="202020"/>
          <w:sz w:val="22"/>
        </w:rPr>
        <w:t>Declaring the platform healthy because every pod is running while business workflows are failing.</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Can Atlas distinguish carrier failure from database failure?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metric represents customer-facing convergence?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Can an operator connect a regression to a deployed version?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5 — Security</w:t>
      </w:r>
    </w:p>
    <w:p>
      <w:pPr>
        <w:pStyle w:val="Heading2"/>
      </w:pPr>
      <w:r>
        <w:rPr>
          <w:rFonts w:ascii="Calibri" w:hAnsi="Calibri"/>
          <w:b w:val="0"/>
          <w:i w:val="0"/>
          <w:color w:val="2E74B5"/>
          <w:sz w:val="26"/>
        </w:rPr>
        <w:t>Identity, Authority, Data Protection, and Supply-Chain Boundaries</w:t>
      </w:r>
    </w:p>
    <w:p>
      <w:pPr>
        <w:pStyle w:val="Heading3"/>
      </w:pPr>
      <w:r>
        <w:rPr>
          <w:rFonts w:ascii="Calibri" w:hAnsi="Calibri"/>
          <w:b w:val="0"/>
          <w:i w:val="0"/>
          <w:color w:val="1F4E79"/>
          <w:sz w:val="24"/>
        </w:rPr>
        <w:t>Lesson Summary</w:t>
      </w:r>
    </w:p>
    <w:p>
      <w:r>
        <w:rPr>
          <w:rFonts w:ascii="Calibri" w:hAnsi="Calibri"/>
          <w:b w:val="0"/>
          <w:i w:val="0"/>
          <w:color w:val="202020"/>
          <w:sz w:val="22"/>
        </w:rPr>
        <w:t>Security is treated as architecture rather than an authentication add-on. Atlas establishes identity, performs tenant-aware authorization, validates untrusted input, protects secrets and sensitive data, limits workload authority, and separates the shipping business plane from the engineering-agent control plane.</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Authentication versus authorization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Tenant-aware resource access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Input validation and injection defense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Encryption in transit and at rest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Secret isolation and rotation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Least-privilege workload identities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Supply-chain security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Agent authority and separation of duties</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Shipping receives only shipping credentials and permissions.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Agents may propose changes but may not approve or merge their own work.</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Security controls are enforced through code, manifests, CI, repository policy, and runtime identity.</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Establish identity, grant the minimum authority, validate every trust boundary, and make privilege visible and revocable.</w:t>
      </w:r>
    </w:p>
    <w:p>
      <w:pPr>
        <w:pStyle w:val="Heading3"/>
      </w:pPr>
      <w:r>
        <w:rPr>
          <w:rFonts w:ascii="Calibri" w:hAnsi="Calibri"/>
          <w:b w:val="0"/>
          <w:i w:val="0"/>
          <w:color w:val="1F4E79"/>
          <w:sz w:val="24"/>
        </w:rPr>
        <w:t>Anti-Pattern</w:t>
      </w:r>
    </w:p>
    <w:p>
      <w:r>
        <w:rPr>
          <w:rFonts w:ascii="Calibri" w:hAnsi="Calibri"/>
          <w:b w:val="0"/>
          <w:i w:val="0"/>
          <w:color w:val="202020"/>
          <w:sz w:val="22"/>
        </w:rPr>
        <w:t>One broad Atlas service account and one shared secret set for every runtime and automation task.</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asset does each control protect?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Can a valid user access another tenant’s shipment?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is the blast radius of a compromised agent identity?</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6 — Architectural Tradeoffs</w:t>
      </w:r>
    </w:p>
    <w:p>
      <w:pPr>
        <w:pStyle w:val="Heading2"/>
      </w:pPr>
      <w:r>
        <w:rPr>
          <w:rFonts w:ascii="Calibri" w:hAnsi="Calibri"/>
          <w:b w:val="0"/>
          <w:i w:val="0"/>
          <w:color w:val="2E74B5"/>
          <w:sz w:val="26"/>
        </w:rPr>
        <w:t>Part 1 — Simplicity Versus Flexibility</w:t>
      </w:r>
    </w:p>
    <w:p>
      <w:pPr>
        <w:pStyle w:val="Heading3"/>
      </w:pPr>
      <w:r>
        <w:rPr>
          <w:rFonts w:ascii="Calibri" w:hAnsi="Calibri"/>
          <w:b w:val="0"/>
          <w:i w:val="0"/>
          <w:color w:val="1F4E79"/>
          <w:sz w:val="24"/>
        </w:rPr>
        <w:t>Lesson Summary</w:t>
      </w:r>
    </w:p>
    <w:p>
      <w:r>
        <w:rPr>
          <w:rFonts w:ascii="Calibri" w:hAnsi="Calibri"/>
          <w:b w:val="0"/>
          <w:i w:val="0"/>
          <w:color w:val="202020"/>
          <w:sz w:val="22"/>
        </w:rPr>
        <w:t>Atlas resists speculative abstractions and preserves only future options whose current value exceeds their cost. The lesson evaluates interfaces, registries, dynamic plugins, shared modules, configuration-driven behavior, and the temptation to solve hypothetical enterprise requirements.</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YAGNI and option value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Rule of Three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Stable versus speculative variation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Configuration versus code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Shared-library coupling</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Reversibility</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Carrier adapters are justified by observed provider variation.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 broad atlas-common module is avoided.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Dynamic plugin loading is deferred until runtime extensibility is demonstrated.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Preserve only future options whose value justifies their present complexity and operating cost.</w:t>
      </w:r>
    </w:p>
    <w:p>
      <w:pPr>
        <w:pStyle w:val="Heading3"/>
      </w:pPr>
      <w:r>
        <w:rPr>
          <w:rFonts w:ascii="Calibri" w:hAnsi="Calibri"/>
          <w:b w:val="0"/>
          <w:i w:val="0"/>
          <w:color w:val="1F4E79"/>
          <w:sz w:val="24"/>
        </w:rPr>
        <w:t>Anti-Pattern</w:t>
      </w:r>
    </w:p>
    <w:p>
      <w:r>
        <w:rPr>
          <w:rFonts w:ascii="Calibri" w:hAnsi="Calibri"/>
          <w:b w:val="0"/>
          <w:i w:val="0"/>
          <w:color w:val="202020"/>
          <w:sz w:val="22"/>
        </w:rPr>
        <w:t>Building a generic framework whose primary customer is an imagined future requirement.</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flexibility is actively used?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present cost does the extension point impose?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Can the option be added later without a destructive migration?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6 — Architectural Tradeoffs</w:t>
      </w:r>
    </w:p>
    <w:p>
      <w:pPr>
        <w:pStyle w:val="Heading2"/>
      </w:pPr>
      <w:r>
        <w:rPr>
          <w:rFonts w:ascii="Calibri" w:hAnsi="Calibri"/>
          <w:b w:val="0"/>
          <w:i w:val="0"/>
          <w:color w:val="2E74B5"/>
          <w:sz w:val="26"/>
        </w:rPr>
        <w:t>Part 2 — Consistency Versus Availability</w:t>
      </w:r>
    </w:p>
    <w:p>
      <w:pPr>
        <w:pStyle w:val="Heading3"/>
      </w:pPr>
      <w:r>
        <w:rPr>
          <w:rFonts w:ascii="Calibri" w:hAnsi="Calibri"/>
          <w:b w:val="0"/>
          <w:i w:val="0"/>
          <w:color w:val="1F4E79"/>
          <w:sz w:val="24"/>
        </w:rPr>
        <w:t>Lesson Summary</w:t>
      </w:r>
    </w:p>
    <w:p>
      <w:r>
        <w:rPr>
          <w:rFonts w:ascii="Calibri" w:hAnsi="Calibri"/>
          <w:b w:val="0"/>
          <w:i w:val="0"/>
          <w:color w:val="202020"/>
          <w:sz w:val="22"/>
        </w:rPr>
        <w:t>Atlas protects critical invariants with strong local consistency while allowing downstream projections and reactions to converge later. The lesson covers CAP reasoning, read-your-writes behavior, sagas and compensation, ordering, reconciliation, stale reads, and truthful representation of pending or unknown outcomes.</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Strong local consistency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Bounded eventual consistency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CAP under partition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Read-your-writes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Sagas and compensation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Ordering and version checks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Reconciliation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Pending and unknown states</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Shipment state and outbox intent are locally atomic.</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Notification, analytics, tracking, and accounting reactions may lag within defined objectives.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The UI and API communicate freshness and uncertainty honestly.</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Protect critical invariants strongly and permit bounded disagreement only where delayed convergence is safe and visible.</w:t>
      </w:r>
    </w:p>
    <w:p>
      <w:pPr>
        <w:pStyle w:val="Heading3"/>
      </w:pPr>
      <w:r>
        <w:rPr>
          <w:rFonts w:ascii="Calibri" w:hAnsi="Calibri"/>
          <w:b w:val="0"/>
          <w:i w:val="0"/>
          <w:color w:val="1F4E79"/>
          <w:sz w:val="24"/>
        </w:rPr>
        <w:t>Anti-Pattern</w:t>
      </w:r>
    </w:p>
    <w:p>
      <w:r>
        <w:rPr>
          <w:rFonts w:ascii="Calibri" w:hAnsi="Calibri"/>
          <w:b w:val="0"/>
          <w:i w:val="0"/>
          <w:color w:val="202020"/>
          <w:sz w:val="22"/>
        </w:rPr>
        <w:t>Claiming immediate global consistency while relying on independent networks, stores, and consumers.</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facts must change atomically?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How stale may each projection become?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happens when an external outcome cannot be known immediately?</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6 — Architectural Tradeoffs</w:t>
      </w:r>
    </w:p>
    <w:p>
      <w:pPr>
        <w:pStyle w:val="Heading2"/>
      </w:pPr>
      <w:r>
        <w:rPr>
          <w:rFonts w:ascii="Calibri" w:hAnsi="Calibri"/>
          <w:b w:val="0"/>
          <w:i w:val="0"/>
          <w:color w:val="2E74B5"/>
          <w:sz w:val="26"/>
        </w:rPr>
        <w:t>Part 3 — Performance Versus Reliability</w:t>
      </w:r>
    </w:p>
    <w:p>
      <w:pPr>
        <w:pStyle w:val="Heading3"/>
      </w:pPr>
      <w:r>
        <w:rPr>
          <w:rFonts w:ascii="Calibri" w:hAnsi="Calibri"/>
          <w:b w:val="0"/>
          <w:i w:val="0"/>
          <w:color w:val="1F4E79"/>
          <w:sz w:val="24"/>
        </w:rPr>
        <w:t>Lesson Summary</w:t>
      </w:r>
    </w:p>
    <w:p>
      <w:r>
        <w:rPr>
          <w:rFonts w:ascii="Calibri" w:hAnsi="Calibri"/>
          <w:b w:val="0"/>
          <w:i w:val="0"/>
          <w:color w:val="202020"/>
          <w:sz w:val="22"/>
        </w:rPr>
        <w:t>Performance is treated as the behavior of the entire business path rather than isolated code speed. Atlas bounds work, manages deadlines, prevents retry amplification, uses bulkheads and backpressure, protects downstream systems, and evaluates tail latency, capacity, resource pools, caching, batching, and graceful degradation.</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Critical path and tail latency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Timeouts and deadline propagation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Retry ownership and budgets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Circuit breakers and bulkheads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Connection pools and Little’s Law</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Backpressure and bounded queues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Caching and stampede prevention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Load, stress, spike, soak, and failure tests</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Every external call has a bounded timeout and one clear retry owner.</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Carrier capacity is isolated by carrier-specific limits and circuits.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Reliability and business correctness are preserved before raw throughput.</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Optimize the complete business path, bound every source of work, and preserve reliability before pursuing raw speed.</w:t>
      </w:r>
    </w:p>
    <w:p>
      <w:pPr>
        <w:pStyle w:val="Heading3"/>
      </w:pPr>
      <w:r>
        <w:rPr>
          <w:rFonts w:ascii="Calibri" w:hAnsi="Calibri"/>
          <w:b w:val="0"/>
          <w:i w:val="0"/>
          <w:color w:val="1F4E79"/>
          <w:sz w:val="24"/>
        </w:rPr>
        <w:t>Anti-Pattern</w:t>
      </w:r>
    </w:p>
    <w:p>
      <w:r>
        <w:rPr>
          <w:rFonts w:ascii="Calibri" w:hAnsi="Calibri"/>
          <w:b w:val="0"/>
          <w:i w:val="0"/>
          <w:color w:val="202020"/>
          <w:sz w:val="22"/>
        </w:rPr>
        <w:t>Increasing retries, threads, and replicas independently until downstream systems collapse.</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is the real bottleneck?</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How does overload propagate?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behavior degrades first when capacity is exhausted?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6 — Architectural Tradeoffs</w:t>
      </w:r>
    </w:p>
    <w:p>
      <w:pPr>
        <w:pStyle w:val="Heading2"/>
      </w:pPr>
      <w:r>
        <w:rPr>
          <w:rFonts w:ascii="Calibri" w:hAnsi="Calibri"/>
          <w:b w:val="0"/>
          <w:i w:val="0"/>
          <w:color w:val="2E74B5"/>
          <w:sz w:val="26"/>
        </w:rPr>
        <w:t>Part 4 — Delivery Speed Versus Operational Safety</w:t>
      </w:r>
    </w:p>
    <w:p>
      <w:pPr>
        <w:pStyle w:val="Heading3"/>
      </w:pPr>
      <w:r>
        <w:rPr>
          <w:rFonts w:ascii="Calibri" w:hAnsi="Calibri"/>
          <w:b w:val="0"/>
          <w:i w:val="0"/>
          <w:color w:val="1F4E79"/>
          <w:sz w:val="24"/>
        </w:rPr>
        <w:t>Lesson Summary</w:t>
      </w:r>
    </w:p>
    <w:p>
      <w:r>
        <w:rPr>
          <w:rFonts w:ascii="Calibri" w:hAnsi="Calibri"/>
          <w:b w:val="0"/>
          <w:i w:val="0"/>
          <w:color w:val="202020"/>
          <w:sz w:val="22"/>
        </w:rPr>
        <w:t>Atlas makes releases small, traceable, compatible, and progressively exposed. The lesson distinguishes continuous integration, delivery, and deployment; treats the pipeline as executable safety policy; and covers immutable artifacts, tests, approvals, migrations, canaries, feature flags, rollback, roll-forward, and agent governance.</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Lead time, deployment frequency, change failure, recovery time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Small batches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Continuous integration and delivery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Immutable artifact promotion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Risk-based approvals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Rolling, blue-green, and canary deployment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Feature flags and kill switches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Expand-and-contract migrations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Rollback versus roll-forward</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Build once and promote the same verified artifact.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Use progressive rollout with explicit success and abort criteria.</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Agents cannot self-approve, merge, or deploy their changes.</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Release small, traceable, backward-compatible changes and increase exposure only while evidence remains healthy.</w:t>
      </w:r>
    </w:p>
    <w:p>
      <w:pPr>
        <w:pStyle w:val="Heading3"/>
      </w:pPr>
      <w:r>
        <w:rPr>
          <w:rFonts w:ascii="Calibri" w:hAnsi="Calibri"/>
          <w:b w:val="0"/>
          <w:i w:val="0"/>
          <w:color w:val="1F4E79"/>
          <w:sz w:val="24"/>
        </w:rPr>
        <w:t>Anti-Pattern</w:t>
      </w:r>
    </w:p>
    <w:p>
      <w:r>
        <w:rPr>
          <w:rFonts w:ascii="Calibri" w:hAnsi="Calibri"/>
          <w:b w:val="0"/>
          <w:i w:val="0"/>
          <w:color w:val="202020"/>
          <w:sz w:val="22"/>
        </w:rPr>
        <w:t>Accumulating months of change and deploying everything at once behind ceremonial approvals.</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Can old and new versions coexist?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is the realistic recovery path?</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release controls are automated guardrails versus meaningful human judgment?</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7 — Evolutionary Architecture</w:t>
      </w:r>
    </w:p>
    <w:p>
      <w:pPr>
        <w:pStyle w:val="Heading2"/>
      </w:pPr>
      <w:r>
        <w:rPr>
          <w:rFonts w:ascii="Calibri" w:hAnsi="Calibri"/>
          <w:b w:val="0"/>
          <w:i w:val="0"/>
          <w:color w:val="2E74B5"/>
          <w:sz w:val="26"/>
        </w:rPr>
        <w:t>Part 1 — Architecture That Can Detect Its Own Decay</w:t>
      </w:r>
    </w:p>
    <w:p>
      <w:pPr>
        <w:pStyle w:val="Heading3"/>
      </w:pPr>
      <w:r>
        <w:rPr>
          <w:rFonts w:ascii="Calibri" w:hAnsi="Calibri"/>
          <w:b w:val="0"/>
          <w:i w:val="0"/>
          <w:color w:val="1F4E79"/>
          <w:sz w:val="24"/>
        </w:rPr>
        <w:t>Lesson Summary</w:t>
      </w:r>
    </w:p>
    <w:p>
      <w:r>
        <w:rPr>
          <w:rFonts w:ascii="Calibri" w:hAnsi="Calibri"/>
          <w:b w:val="0"/>
          <w:i w:val="0"/>
          <w:color w:val="202020"/>
          <w:sz w:val="22"/>
        </w:rPr>
        <w:t>Atlas distinguishes intended architecture from actual dependencies, data access, permissions, deployment, and runtime behavior. Important decisions become architectural fitness functions using module tests, policy as code, behavioral tests, SLOs, drift detection, ratchets, and explicit exceptions.</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Architectural erosion and drift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Static, dynamic, and operational fitness functions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ArchUnit-style dependency tests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Database and secret boundaries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Ratchets and baselines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Policy as code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Architecture health and exceptions</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Shipping must not depend on agent implementation.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Shipping manifests must not reference agent-only secrets.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Fitness functions protect meaning rather than freezing incidental package layout.</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Turn important architectural decisions into continuously evaluated constraints and change those constraints only deliberately.</w:t>
      </w:r>
    </w:p>
    <w:p>
      <w:pPr>
        <w:pStyle w:val="Heading3"/>
      </w:pPr>
      <w:r>
        <w:rPr>
          <w:rFonts w:ascii="Calibri" w:hAnsi="Calibri"/>
          <w:b w:val="0"/>
          <w:i w:val="0"/>
          <w:color w:val="1F4E79"/>
          <w:sz w:val="24"/>
        </w:rPr>
        <w:t>Anti-Pattern</w:t>
      </w:r>
    </w:p>
    <w:p>
      <w:r>
        <w:rPr>
          <w:rFonts w:ascii="Calibri" w:hAnsi="Calibri"/>
          <w:b w:val="0"/>
          <w:i w:val="0"/>
          <w:color w:val="202020"/>
          <w:sz w:val="22"/>
        </w:rPr>
        <w:t>Maintaining a beautiful architecture diagram while actual dependencies and permissions drift unnoticed.</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decisions are important enough to fail the build?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qualities require runtime evidence?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How are temporary exceptions owned and expired?</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7 — Evolutionary Architecture</w:t>
      </w:r>
    </w:p>
    <w:p>
      <w:pPr>
        <w:pStyle w:val="Heading2"/>
      </w:pPr>
      <w:r>
        <w:rPr>
          <w:rFonts w:ascii="Calibri" w:hAnsi="Calibri"/>
          <w:b w:val="0"/>
          <w:i w:val="0"/>
          <w:color w:val="2E74B5"/>
          <w:sz w:val="26"/>
        </w:rPr>
        <w:t>Part 2 — Safe Evolution</w:t>
      </w:r>
    </w:p>
    <w:p>
      <w:pPr>
        <w:pStyle w:val="Heading3"/>
      </w:pPr>
      <w:r>
        <w:rPr>
          <w:rFonts w:ascii="Calibri" w:hAnsi="Calibri"/>
          <w:b w:val="0"/>
          <w:i w:val="0"/>
          <w:color w:val="1F4E79"/>
          <w:sz w:val="24"/>
        </w:rPr>
        <w:t>Lesson Summary</w:t>
      </w:r>
    </w:p>
    <w:p>
      <w:r>
        <w:rPr>
          <w:rFonts w:ascii="Calibri" w:hAnsi="Calibri"/>
          <w:b w:val="0"/>
          <w:i w:val="0"/>
          <w:color w:val="202020"/>
          <w:sz w:val="22"/>
        </w:rPr>
        <w:t>Live systems evolve through parallel change rather than atomic cutover. Atlas expands contracts and schemas, migrates readers, writers, traffic, and authority incrementally, measures old-path use and correctness, and contracts only after compatibility and retention windows close.</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Expand, migrate, contract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Backward and forward compatibility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Tolerant readers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API and event evolution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Backfills and dual writes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Shadow reads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Authority switches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Strangler migration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Compatibility windows</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Readers become tolerant before producers emit incompatible forms.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One system remains authoritative during migration.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The future agent deployment uses a staged dark launch, canary, Airflow cutover, and legacy cleanup.</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Expand compatibility first, migrate authority and traffic incrementally, and remove old paths only after evidence proves they are unnecessary.</w:t>
      </w:r>
    </w:p>
    <w:p>
      <w:pPr>
        <w:pStyle w:val="Heading3"/>
      </w:pPr>
      <w:r>
        <w:rPr>
          <w:rFonts w:ascii="Calibri" w:hAnsi="Calibri"/>
          <w:b w:val="0"/>
          <w:i w:val="0"/>
          <w:color w:val="1F4E79"/>
          <w:sz w:val="24"/>
        </w:rPr>
        <w:t>Anti-Pattern</w:t>
      </w:r>
    </w:p>
    <w:p>
      <w:r>
        <w:rPr>
          <w:rFonts w:ascii="Calibri" w:hAnsi="Calibri"/>
          <w:b w:val="0"/>
          <w:i w:val="0"/>
          <w:color w:val="202020"/>
          <w:sz w:val="22"/>
        </w:rPr>
        <w:t>Renaming fields, schemas, routes, and services in one coordinated big-bang release.</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old and new versions must coexist?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Where is the point of no return?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evidence defines migration completion?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7 — Evolutionary Architecture</w:t>
      </w:r>
    </w:p>
    <w:p>
      <w:pPr>
        <w:pStyle w:val="Heading2"/>
      </w:pPr>
      <w:r>
        <w:rPr>
          <w:rFonts w:ascii="Calibri" w:hAnsi="Calibri"/>
          <w:b w:val="0"/>
          <w:i w:val="0"/>
          <w:color w:val="2E74B5"/>
          <w:sz w:val="26"/>
        </w:rPr>
        <w:t>Part 3 — Architecture Ownership</w:t>
      </w:r>
    </w:p>
    <w:p>
      <w:pPr>
        <w:pStyle w:val="Heading3"/>
      </w:pPr>
      <w:r>
        <w:rPr>
          <w:rFonts w:ascii="Calibri" w:hAnsi="Calibri"/>
          <w:b w:val="0"/>
          <w:i w:val="0"/>
          <w:color w:val="1F4E79"/>
          <w:sz w:val="24"/>
        </w:rPr>
        <w:t>Lesson Summary</w:t>
      </w:r>
    </w:p>
    <w:p>
      <w:r>
        <w:rPr>
          <w:rFonts w:ascii="Calibri" w:hAnsi="Calibri"/>
          <w:b w:val="0"/>
          <w:i w:val="0"/>
          <w:color w:val="202020"/>
          <w:sz w:val="22"/>
        </w:rPr>
        <w:t>Architecture is sustained through domain, service, data, contract, operational, security, and migration ownership. The lesson explores accountability versus responsibility, team boundaries, paved roads, guardrails versus gates, RACI, decision rights, on-call capability, debt ownership, and retirement.</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Domain and service ownership</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Data and contract ownership</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Operational and security ownership</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Platform as a product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Paved roads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Guardrails versus gates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RACI and decision rights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Migration and retirement ownership</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Shipping owns shipment truth and booking contracts.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Consumers own their queues, retries, idempotency, and effects.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 temporary migration owner coordinates the remaining agent deployment sequence end to end.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Assign every important capability, contract, dataset, and operational outcome to an accountable owner with enough authority to evolve it.</w:t>
      </w:r>
    </w:p>
    <w:p>
      <w:pPr>
        <w:pStyle w:val="Heading3"/>
      </w:pPr>
      <w:r>
        <w:rPr>
          <w:rFonts w:ascii="Calibri" w:hAnsi="Calibri"/>
          <w:b w:val="0"/>
          <w:i w:val="0"/>
          <w:color w:val="1F4E79"/>
          <w:sz w:val="24"/>
        </w:rPr>
        <w:t>Anti-Pattern</w:t>
      </w:r>
    </w:p>
    <w:p>
      <w:r>
        <w:rPr>
          <w:rFonts w:ascii="Calibri" w:hAnsi="Calibri"/>
          <w:b w:val="0"/>
          <w:i w:val="0"/>
          <w:color w:val="202020"/>
          <w:sz w:val="22"/>
        </w:rPr>
        <w:t>Declaring that “everyone owns it” while alerts, migrations, and decommissioning have no clear home.</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Who owns business meaning?</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Who can act during an incident?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Who is accountable for removing the old path?</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7 — Evolutionary Architecture</w:t>
      </w:r>
    </w:p>
    <w:p>
      <w:pPr>
        <w:pStyle w:val="Heading2"/>
      </w:pPr>
      <w:r>
        <w:rPr>
          <w:rFonts w:ascii="Calibri" w:hAnsi="Calibri"/>
          <w:b w:val="0"/>
          <w:i w:val="0"/>
          <w:color w:val="2E74B5"/>
          <w:sz w:val="26"/>
        </w:rPr>
        <w:t>Part 4 — Architecture Decision Records</w:t>
      </w:r>
    </w:p>
    <w:p>
      <w:pPr>
        <w:pStyle w:val="Heading3"/>
      </w:pPr>
      <w:r>
        <w:rPr>
          <w:rFonts w:ascii="Calibri" w:hAnsi="Calibri"/>
          <w:b w:val="0"/>
          <w:i w:val="0"/>
          <w:color w:val="1F4E79"/>
          <w:sz w:val="24"/>
        </w:rPr>
        <w:t>Lesson Summary</w:t>
      </w:r>
    </w:p>
    <w:p>
      <w:r>
        <w:rPr>
          <w:rFonts w:ascii="Calibri" w:hAnsi="Calibri"/>
          <w:b w:val="0"/>
          <w:i w:val="0"/>
          <w:color w:val="202020"/>
          <w:sz w:val="22"/>
        </w:rPr>
        <w:t>ADRs preserve why Atlas made significant choices, which alternatives were considered, what costs were accepted, which assumptions matter, and what evidence should trigger reconsideration. Records are version-controlled, concise, linked to fitness functions, and superseded rather than rewritten.</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 context, decision, alternatives, and consequences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Assumptions and review triggers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Proposed, accepted, rejected, deprecated, superseded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Decision ownership</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Negative decisions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Linking ADRs to tests and operations</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Create ADRs for carrier adapters, outbox, messaging topology, shipping-agent separation, one repository, and deferred agent deployment.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Keep historical ADRs when later decisions supersede them.</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Do not create ADR bureaucracy for routine implementation details.</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Record significant choices close to the system, including why they were made, how they are protected, and what evidence should cause reconsideration.</w:t>
      </w:r>
    </w:p>
    <w:p>
      <w:pPr>
        <w:pStyle w:val="Heading3"/>
      </w:pPr>
      <w:r>
        <w:rPr>
          <w:rFonts w:ascii="Calibri" w:hAnsi="Calibri"/>
          <w:b w:val="0"/>
          <w:i w:val="0"/>
          <w:color w:val="1F4E79"/>
          <w:sz w:val="24"/>
        </w:rPr>
        <w:t>Anti-Pattern</w:t>
      </w:r>
    </w:p>
    <w:p>
      <w:r>
        <w:rPr>
          <w:rFonts w:ascii="Calibri" w:hAnsi="Calibri"/>
          <w:b w:val="0"/>
          <w:i w:val="0"/>
          <w:color w:val="202020"/>
          <w:sz w:val="22"/>
        </w:rPr>
        <w:t>Allowing the rationale for an important design to remain only in a meeting or one person’s memory.</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Would a future engineer understand the accepted cost?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assumption could make the decision wrong later?</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fitness function protects the decision?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8 — The Architect’s Method</w:t>
      </w:r>
    </w:p>
    <w:p>
      <w:pPr>
        <w:pStyle w:val="Heading2"/>
      </w:pPr>
      <w:r>
        <w:rPr>
          <w:rFonts w:ascii="Calibri" w:hAnsi="Calibri"/>
          <w:b w:val="0"/>
          <w:i w:val="0"/>
          <w:color w:val="2E74B5"/>
          <w:sz w:val="26"/>
        </w:rPr>
        <w:t>Part 1 — Begin With the Problem, Not the Technology</w:t>
      </w:r>
    </w:p>
    <w:p>
      <w:pPr>
        <w:pStyle w:val="Heading3"/>
      </w:pPr>
      <w:r>
        <w:rPr>
          <w:rFonts w:ascii="Calibri" w:hAnsi="Calibri"/>
          <w:b w:val="0"/>
          <w:i w:val="0"/>
          <w:color w:val="1F4E79"/>
          <w:sz w:val="24"/>
        </w:rPr>
        <w:t>Lesson Summary</w:t>
      </w:r>
    </w:p>
    <w:p>
      <w:r>
        <w:rPr>
          <w:rFonts w:ascii="Calibri" w:hAnsi="Calibri"/>
          <w:b w:val="0"/>
          <w:i w:val="0"/>
          <w:color w:val="202020"/>
          <w:sz w:val="22"/>
        </w:rPr>
        <w:t>The reusable method begins with outcomes, actors, journeys, constraints, quality-attribute scenarios, business invariants, state transitions, trust boundaries, failure models, assumptions, and risks. Technology selection follows only after the problem and tradeoffs are understood.</w:t>
      </w:r>
    </w:p>
    <w:p>
      <w:pPr>
        <w:pStyle w:val="Heading3"/>
        <w:pageBreakBefore/>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Problem statements and actor goals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Real versus assumed constraints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Quality-attribute scenarios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Business invariants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Commands, events, and state models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Trust and failure boundaries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Walking skeletons and vertical slices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Smallest sufficient architecture</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Atlas architecture is derived from demonstrated pressures rather than fashionable components.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Hard-to-reverse decisions are made early; reversible details remain open.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 thin end-to-end slice validates assumptions before broad framework construction.</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Begin with the outcome and constraints, identify what must remain true, and choose technology only after boundaries and failure behavior are understood.</w:t>
      </w:r>
    </w:p>
    <w:p>
      <w:pPr>
        <w:pStyle w:val="Heading3"/>
      </w:pPr>
      <w:r>
        <w:rPr>
          <w:rFonts w:ascii="Calibri" w:hAnsi="Calibri"/>
          <w:b w:val="0"/>
          <w:i w:val="0"/>
          <w:color w:val="1F4E79"/>
          <w:sz w:val="24"/>
        </w:rPr>
        <w:t>Anti-Pattern</w:t>
      </w:r>
    </w:p>
    <w:p>
      <w:r>
        <w:rPr>
          <w:rFonts w:ascii="Calibri" w:hAnsi="Calibri"/>
          <w:b w:val="0"/>
          <w:i w:val="0"/>
          <w:color w:val="202020"/>
          <w:sz w:val="22"/>
        </w:rPr>
        <w:t>Selecting microservices, brokers, orchestration, and AI tooling before defining the business workflow.</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happens if the system is wrong rather than unavailable?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constraints are actually negotiable?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is the minimum responsible design?</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8 — The Architect’s Method</w:t>
      </w:r>
    </w:p>
    <w:p>
      <w:pPr>
        <w:pStyle w:val="Heading2"/>
      </w:pPr>
      <w:r>
        <w:rPr>
          <w:rFonts w:ascii="Calibri" w:hAnsi="Calibri"/>
          <w:b w:val="0"/>
          <w:i w:val="0"/>
          <w:color w:val="2E74B5"/>
          <w:sz w:val="26"/>
        </w:rPr>
        <w:t>Part 2 — From Model to Blueprint</w:t>
      </w:r>
    </w:p>
    <w:p>
      <w:pPr>
        <w:pStyle w:val="Heading3"/>
      </w:pPr>
      <w:r>
        <w:rPr>
          <w:rFonts w:ascii="Calibri" w:hAnsi="Calibri"/>
          <w:b w:val="0"/>
          <w:i w:val="0"/>
          <w:color w:val="1F4E79"/>
          <w:sz w:val="24"/>
        </w:rPr>
        <w:t>Lesson Summary</w:t>
      </w:r>
    </w:p>
    <w:p>
      <w:r>
        <w:rPr>
          <w:rFonts w:ascii="Calibri" w:hAnsi="Calibri"/>
          <w:b w:val="0"/>
          <w:i w:val="0"/>
          <w:color w:val="202020"/>
          <w:sz w:val="22"/>
        </w:rPr>
        <w:t>The architect converts reasoning into an implementable blueprint: scope, boundary statements, capabilities, use cases, commands, domain concepts, ports, adapters, contracts, authoritative data, transaction boundaries, failure matrices, security, deployment, observability, ownership, ADRs, fitness functions, and a vertical-slice backlog.</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Architecture blueprint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Boundary and capability statements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Command and domain models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Ports and adapters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API and event contracts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Data and transaction boundaries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Security and authority maps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Failure and recovery matrices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Current, transition, and target states</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Specify architecture-significant constraints while leaving reversible class-level details open.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Document current, transition, and target architecture separately.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Connect every major decision to ownership, failure behavior, and evidence.</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Specify the decisions that protect system-wide qualities and leave ordinary reversible implementation details open to learning.</w:t>
      </w:r>
    </w:p>
    <w:p>
      <w:pPr>
        <w:pStyle w:val="Heading3"/>
      </w:pPr>
      <w:r>
        <w:rPr>
          <w:rFonts w:ascii="Calibri" w:hAnsi="Calibri"/>
          <w:b w:val="0"/>
          <w:i w:val="0"/>
          <w:color w:val="1F4E79"/>
          <w:sz w:val="24"/>
        </w:rPr>
        <w:t>Anti-Pattern</w:t>
      </w:r>
    </w:p>
    <w:p>
      <w:r>
        <w:rPr>
          <w:rFonts w:ascii="Calibri" w:hAnsi="Calibri"/>
          <w:b w:val="0"/>
          <w:i w:val="0"/>
          <w:color w:val="202020"/>
          <w:sz w:val="22"/>
        </w:rPr>
        <w:t>Either prescribing every class before implementation or providing only vague principles with no contracts or boundaries.</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Can engineers implement one vertical slice coherently?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Are transaction and authority boundaries explicit?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Does the blueprint describe migration and failure, not only final structure?</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8 — The Architect’s Method</w:t>
      </w:r>
    </w:p>
    <w:p>
      <w:pPr>
        <w:pStyle w:val="Heading2"/>
      </w:pPr>
      <w:r>
        <w:rPr>
          <w:rFonts w:ascii="Calibri" w:hAnsi="Calibri"/>
          <w:b w:val="0"/>
          <w:i w:val="0"/>
          <w:color w:val="2E74B5"/>
          <w:sz w:val="26"/>
        </w:rPr>
        <w:t>Part 3 — Architecture in Practice</w:t>
      </w:r>
    </w:p>
    <w:p>
      <w:pPr>
        <w:pStyle w:val="Heading3"/>
      </w:pPr>
      <w:r>
        <w:rPr>
          <w:rFonts w:ascii="Calibri" w:hAnsi="Calibri"/>
          <w:b w:val="0"/>
          <w:i w:val="0"/>
          <w:color w:val="1F4E79"/>
          <w:sz w:val="24"/>
        </w:rPr>
        <w:t>Lesson Summary</w:t>
      </w:r>
    </w:p>
    <w:p>
      <w:r>
        <w:rPr>
          <w:rFonts w:ascii="Calibri" w:hAnsi="Calibri"/>
          <w:b w:val="0"/>
          <w:i w:val="0"/>
          <w:color w:val="202020"/>
          <w:sz w:val="22"/>
        </w:rPr>
        <w:t>Production evidence tests architectural hypotheses. Atlas evaluates business outcomes, SLOs, incidents, change coupling, security findings, toil, cost, support cases, and team experience. Reviews may preserve, tune, strengthen, simplify, migrate, or retire parts of the architecture.</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Business and operational evidence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Leading and lagging indicators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Change coupling and hotspots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Operational toil</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Metric theater and Goodhart’s Law</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Architecture experiments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Trigger-based debt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Preserve, tune, strengthen, simplify, migrate, retire</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Architectural change follows recurring structural pressure rather than isolated defects or technology fashion.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Deferred agent deployment is activated by explicit workload, security, or release-coupling triggers.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Successful controls and containment are evaluated and preserved.</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Treat architecture as a testable hypothesis and evolve only when evidence demonstrates meaningful pressure.</w:t>
      </w:r>
    </w:p>
    <w:p>
      <w:pPr>
        <w:pStyle w:val="Heading3"/>
      </w:pPr>
      <w:r>
        <w:rPr>
          <w:rFonts w:ascii="Calibri" w:hAnsi="Calibri"/>
          <w:b w:val="0"/>
          <w:i w:val="0"/>
          <w:color w:val="1F4E79"/>
          <w:sz w:val="24"/>
        </w:rPr>
        <w:t>Anti-Pattern</w:t>
      </w:r>
    </w:p>
    <w:p>
      <w:r>
        <w:rPr>
          <w:rFonts w:ascii="Calibri" w:hAnsi="Calibri"/>
          <w:b w:val="0"/>
          <w:i w:val="0"/>
          <w:color w:val="202020"/>
          <w:sz w:val="22"/>
        </w:rPr>
        <w:t>Treating the original diagram as permanent truth while repeated incidents are patched locally for years.</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assumption became false?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Is the pressure structural or local?</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is the smallest sufficient architectural response?</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Chapter 8 — The Architect’s Method</w:t>
      </w:r>
    </w:p>
    <w:p>
      <w:pPr>
        <w:pStyle w:val="Heading2"/>
      </w:pPr>
      <w:r>
        <w:rPr>
          <w:rFonts w:ascii="Calibri" w:hAnsi="Calibri"/>
          <w:b w:val="0"/>
          <w:i w:val="0"/>
          <w:color w:val="2E74B5"/>
          <w:sz w:val="26"/>
        </w:rPr>
        <w:t>Part 4 — Communicating Architecture</w:t>
      </w:r>
    </w:p>
    <w:p>
      <w:pPr>
        <w:pStyle w:val="Heading3"/>
      </w:pPr>
      <w:r>
        <w:rPr>
          <w:rFonts w:ascii="Calibri" w:hAnsi="Calibri"/>
          <w:b w:val="0"/>
          <w:i w:val="0"/>
          <w:color w:val="1F4E79"/>
          <w:sz w:val="24"/>
        </w:rPr>
        <w:t>Lesson Summary</w:t>
      </w:r>
    </w:p>
    <w:p>
      <w:r>
        <w:rPr>
          <w:rFonts w:ascii="Calibri" w:hAnsi="Calibri"/>
          <w:b w:val="0"/>
          <w:i w:val="0"/>
          <w:color w:val="202020"/>
          <w:sz w:val="22"/>
        </w:rPr>
        <w:t>One coherent architecture is communicated through views adapted to the audience’s decision. Executives need outcomes, cost, and risk; product needs workflow semantics; engineers need contracts and boundaries; operators need failure and recovery; security needs authority and trust; consumers need precise event guarantees.</w:t>
      </w:r>
    </w:p>
    <w:p>
      <w:pPr>
        <w:pStyle w:val="Heading3"/>
      </w:pPr>
      <w:r>
        <w:rPr>
          <w:rFonts w:ascii="Calibri" w:hAnsi="Calibri"/>
          <w:b w:val="0"/>
          <w:i w:val="0"/>
          <w:color w:val="1F4E79"/>
          <w:sz w:val="24"/>
        </w:rPr>
        <w:t>Core Concepts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Architecture views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Audience and decision framing</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Progressive disclosure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Business, runtime, data, security, and operational views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Architecture narratives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Current versus target communication</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Layered interview answers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Precise tradeoff and risk statements</w:t>
      </w:r>
    </w:p>
    <w:p>
      <w:pPr>
        <w:pStyle w:val="Heading3"/>
      </w:pPr>
      <w:r>
        <w:rPr>
          <w:rFonts w:ascii="Calibri" w:hAnsi="Calibri"/>
          <w:b w:val="0"/>
          <w:i w:val="0"/>
          <w:color w:val="1F4E79"/>
          <w:sz w:val="24"/>
        </w:rPr>
        <w:t>Atlas Decisions Preserved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Begin explanations with outcome and pressure rather than technology inventory.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Keep meaning consistent while translating terminology and depth.</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Mark diagrams and roadmaps clearly as current, transition, or target state.</w:t>
      </w:r>
    </w:p>
    <w:p>
      <w:pPr>
        <w:pStyle w:val="Heading3"/>
      </w:pPr>
      <w:r>
        <w:rPr>
          <w:rFonts w:ascii="Calibri" w:hAnsi="Calibri"/>
          <w:b w:val="0"/>
          <w:i w:val="0"/>
          <w:color w:val="1F4E79"/>
          <w:sz w:val="24"/>
        </w:rPr>
        <w:t>Architecture Principle</w:t>
      </w:r>
    </w:p>
    <w:p>
      <w:pPr>
        <w:keepLines/>
        <w:spacing w:before="80" w:after="160"/>
        <w:ind w:left="360" w:right="216"/>
      </w:pPr>
      <w:r>
        <w:rPr>
          <w:rFonts w:ascii="Calibri" w:hAnsi="Calibri"/>
          <w:b/>
          <w:i w:val="0"/>
          <w:color w:val="1F4E79"/>
          <w:sz w:val="22"/>
        </w:rPr>
        <w:t>Use the view and level of detail required for the audience’s decision while preserving the same truth, tradeoffs, and limitations.</w:t>
      </w:r>
    </w:p>
    <w:p>
      <w:pPr>
        <w:pStyle w:val="Heading3"/>
      </w:pPr>
      <w:r>
        <w:rPr>
          <w:rFonts w:ascii="Calibri" w:hAnsi="Calibri"/>
          <w:b w:val="0"/>
          <w:i w:val="0"/>
          <w:color w:val="1F4E79"/>
          <w:sz w:val="24"/>
        </w:rPr>
        <w:t>Anti-Pattern</w:t>
      </w:r>
    </w:p>
    <w:p>
      <w:r>
        <w:rPr>
          <w:rFonts w:ascii="Calibri" w:hAnsi="Calibri"/>
          <w:b w:val="0"/>
          <w:i w:val="0"/>
          <w:color w:val="202020"/>
          <w:sz w:val="22"/>
        </w:rPr>
        <w:t>Presenting one enormous diagram—or one empty business slogan—to every audience.</w:t>
      </w:r>
    </w:p>
    <w:p>
      <w:pPr>
        <w:pStyle w:val="Heading3"/>
      </w:pPr>
      <w:r>
        <w:rPr>
          <w:rFonts w:ascii="Calibri" w:hAnsi="Calibri"/>
          <w:b w:val="0"/>
          <w:i w:val="0"/>
          <w:color w:val="1F4E79"/>
          <w:sz w:val="24"/>
        </w:rPr>
        <w:t>Review Questions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What decision must the audience make?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Which concrete scenario will make the tradeoff clear?</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Have current limitations and uncertainty been stated honestly?</w:t>
      </w:r>
    </w:p>
    <w:p>
      <w:pPr>
        <w:pStyle w:val="Heading3"/>
      </w:pPr>
      <w:r>
        <w:rPr>
          <w:rFonts w:ascii="Calibri" w:hAnsi="Calibri"/>
          <w:b w:val="0"/>
          <w:i w:val="0"/>
          <w:color w:val="1F4E79"/>
          <w:sz w:val="24"/>
        </w:rPr>
        <w:t>Update Notes</w:t>
      </w:r>
    </w:p>
    <w:tbl>
      <w:tblPr>
        <w:tblStyle w:val="TableGrid"/>
        <w:tblW w:type="dxa" w:w="9360"/>
        <w:tblLayout w:type="fixed"/>
        <w:tblLook w:firstColumn="1" w:firstRow="1" w:lastColumn="0" w:lastRow="0" w:noHBand="0" w:noVBand="1" w:val="04A0"/>
        <w:tblInd w:w="120" w:type="dxa"/>
      </w:tblPr>
      <w:tblGrid>
        <w:gridCol w:w="2700"/>
        <w:gridCol w:w="6660"/>
      </w:tblGrid>
      <w:tr>
        <w:trPr>
          <w:cantSplit/>
          <w:trHeight w:hRule="atLeast"/>
          <w:tblHeader w:val="true"/>
        </w:trPr>
        <w:tc>
          <w:tcPr>
            <w:tcW w:type="dxa" w:w="270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Field</w:t>
            </w:r>
          </w:p>
        </w:tc>
        <w:tc>
          <w:tcPr>
            <w:tcW w:type="dxa" w:w="6660"/>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Value</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Status</w:t>
            </w:r>
          </w:p>
        </w:tc>
        <w:tc>
          <w:tcPr>
            <w:tcW w:type="dxa" w:w="666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Unreviewed</w:t>
            </w: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Owner</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keepNext/>
              <w:spacing w:before="0" w:after="0" w:line="240" w:lineRule="auto"/>
            </w:pPr>
            <w:r>
              <w:rPr>
                <w:rFonts w:ascii="Calibri" w:hAnsi="Calibri"/>
                <w:b w:val="0"/>
                <w:i w:val="0"/>
                <w:color w:val="202020"/>
                <w:sz w:val="21"/>
              </w:rPr>
              <w:t>Proposed changes</w:t>
            </w:r>
          </w:p>
        </w:tc>
        <w:tc>
          <w:tcPr>
            <w:tcW w:type="dxa" w:w="6660"/>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2700"/>
            <w:vAlign w:val="center"/>
            <w:tcMar>
              <w:top w:w="80" w:type="dxa"/>
              <w:bottom w:w="80" w:type="dxa"/>
              <w:start w:w="120" w:type="dxa"/>
              <w:end w:w="120" w:type="dxa"/>
            </w:tcMar>
          </w:tcPr>
          <w:p>
            <w:pPr>
              <w:spacing w:before="0" w:after="0" w:line="240" w:lineRule="auto"/>
            </w:pPr>
            <w:r>
              <w:rPr>
                <w:rFonts w:ascii="Calibri" w:hAnsi="Calibri"/>
                <w:b w:val="0"/>
                <w:i w:val="0"/>
                <w:color w:val="202020"/>
                <w:sz w:val="21"/>
              </w:rPr>
              <w:t>Related ADRs or code</w:t>
            </w:r>
          </w:p>
        </w:tc>
        <w:tc>
          <w:tcPr>
            <w:tcW w:type="dxa" w:w="6660"/>
            <w:vAlign w:val="center"/>
            <w:tcMar>
              <w:top w:w="80" w:type="dxa"/>
              <w:bottom w:w="80" w:type="dxa"/>
              <w:start w:w="120" w:type="dxa"/>
              <w:end w:w="120" w:type="dxa"/>
            </w:tcMar>
          </w:tcPr>
          <w:p>
            <w:pPr>
              <w:spacing w:before="0" w:after="0" w:line="240" w:lineRule="auto"/>
            </w:pPr>
          </w:p>
        </w:tc>
      </w:tr>
    </w:tbl>
    <w:p>
      <w:pPr>
        <w:spacing w:before="0" w:after="40"/>
      </w:pPr>
    </w:p>
    <w:p>
      <w:pPr>
        <w:pStyle w:val="Heading1"/>
      </w:pPr>
      <w:r>
        <w:rPr>
          <w:rFonts w:ascii="Calibri" w:hAnsi="Calibri"/>
          <w:b w:val="0"/>
          <w:i w:val="0"/>
          <w:color w:val="2E74B5"/>
          <w:sz w:val="32"/>
        </w:rPr>
        <w:t>Appendix A — Course-Wide Architecture Principles</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Responsibility:</w:t>
      </w:r>
      <w:r>
        <w:rPr>
          <w:rFonts w:ascii="Calibri" w:hAnsi="Calibri"/>
          <w:b w:val="0"/>
          <w:i w:val="0"/>
          <w:color w:val="202020"/>
          <w:sz w:val="22"/>
        </w:rPr>
        <w:t xml:space="preserve"> Give each responsibility a dedicated home.</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Boundaries:</w:t>
      </w:r>
      <w:r>
        <w:rPr>
          <w:rFonts w:ascii="Calibri" w:hAnsi="Calibri"/>
          <w:b w:val="0"/>
          <w:i w:val="0"/>
          <w:color w:val="202020"/>
          <w:sz w:val="22"/>
        </w:rPr>
        <w:t xml:space="preserve"> Create boundaries where reasons to change, authority, ownership, failure, or lifecycle differ.</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Consistency:</w:t>
      </w:r>
      <w:r>
        <w:rPr>
          <w:rFonts w:ascii="Calibri" w:hAnsi="Calibri"/>
          <w:b w:val="0"/>
          <w:i w:val="0"/>
          <w:color w:val="202020"/>
          <w:sz w:val="22"/>
        </w:rPr>
        <w:t xml:space="preserve"> Use the strongest consistency required to protect each invariant and bounded eventual consistency elsewhere.</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Reliability:</w:t>
      </w:r>
      <w:r>
        <w:rPr>
          <w:rFonts w:ascii="Calibri" w:hAnsi="Calibri"/>
          <w:b w:val="0"/>
          <w:i w:val="0"/>
          <w:color w:val="202020"/>
          <w:sz w:val="22"/>
        </w:rPr>
        <w:t xml:space="preserve"> Preserve truthful state, bound work, isolate failure, and design recovery before failure occurs.</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Security:</w:t>
      </w:r>
      <w:r>
        <w:rPr>
          <w:rFonts w:ascii="Calibri" w:hAnsi="Calibri"/>
          <w:b w:val="0"/>
          <w:i w:val="0"/>
          <w:color w:val="202020"/>
          <w:sz w:val="22"/>
        </w:rPr>
        <w:t xml:space="preserve"> Establish identity, grant minimum authority, validate trust boundaries, and make privilege revocable.</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Simplicity:</w:t>
      </w:r>
      <w:r>
        <w:rPr>
          <w:rFonts w:ascii="Calibri" w:hAnsi="Calibri"/>
          <w:b w:val="0"/>
          <w:i w:val="0"/>
          <w:color w:val="202020"/>
          <w:sz w:val="22"/>
        </w:rPr>
        <w:t xml:space="preserve"> Preserve only future options whose value justifies their present cost.</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Delivery:</w:t>
      </w:r>
      <w:r>
        <w:rPr>
          <w:rFonts w:ascii="Calibri" w:hAnsi="Calibri"/>
          <w:b w:val="0"/>
          <w:i w:val="0"/>
          <w:color w:val="202020"/>
          <w:sz w:val="22"/>
        </w:rPr>
        <w:t xml:space="preserve"> Release small, compatible, observable changes and expand exposure only while evidence remains healthy.</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Evolution:</w:t>
      </w:r>
      <w:r>
        <w:rPr>
          <w:rFonts w:ascii="Calibri" w:hAnsi="Calibri"/>
          <w:b w:val="0"/>
          <w:i w:val="0"/>
          <w:color w:val="202020"/>
          <w:sz w:val="22"/>
        </w:rPr>
        <w:t xml:space="preserve"> Turn important decisions into continuously evaluated constraints and change them deliberately.</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Ownership:</w:t>
      </w:r>
      <w:r>
        <w:rPr>
          <w:rFonts w:ascii="Calibri" w:hAnsi="Calibri"/>
          <w:b w:val="0"/>
          <w:i w:val="0"/>
          <w:color w:val="202020"/>
          <w:sz w:val="22"/>
        </w:rPr>
        <w:t xml:space="preserve"> Assign important outcomes, contracts, datasets, and capabilities to accountable owners.</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Evidence:</w:t>
      </w:r>
      <w:r>
        <w:rPr>
          <w:rFonts w:ascii="Calibri" w:hAnsi="Calibri"/>
          <w:b w:val="0"/>
          <w:i w:val="0"/>
          <w:color w:val="202020"/>
          <w:sz w:val="22"/>
        </w:rPr>
        <w:t xml:space="preserve"> Treat architecture as a hypothesis tested by business, operational, security, delivery, and human outcomes.</w:t>
      </w:r>
    </w:p>
    <w:p>
      <w:pPr>
        <w:spacing w:after="80" w:line="300" w:lineRule="auto"/>
        <w:ind w:left="540" w:hanging="270"/>
      </w:pPr>
      <w:r>
        <w:rPr>
          <w:rFonts w:ascii="Calibri" w:hAnsi="Calibri"/>
          <w:color w:val="202020"/>
          <w:sz w:val="22"/>
        </w:rPr>
        <w:t xml:space="preserve">•  </w:t>
      </w:r>
      <w:r>
        <w:rPr>
          <w:rFonts w:ascii="Calibri" w:hAnsi="Calibri"/>
          <w:b/>
          <w:i w:val="0"/>
          <w:color w:val="202020"/>
          <w:sz w:val="22"/>
        </w:rPr>
        <w:t>Communication:</w:t>
      </w:r>
      <w:r>
        <w:rPr>
          <w:rFonts w:ascii="Calibri" w:hAnsi="Calibri"/>
          <w:b w:val="0"/>
          <w:i w:val="0"/>
          <w:color w:val="202020"/>
          <w:sz w:val="22"/>
        </w:rPr>
        <w:t xml:space="preserve"> Explain the same architectural truth through the view required for each audience’s decision.</w:t>
      </w:r>
    </w:p>
    <w:p>
      <w:pPr>
        <w:pStyle w:val="Heading1"/>
      </w:pPr>
      <w:r>
        <w:rPr>
          <w:rFonts w:ascii="Calibri" w:hAnsi="Calibri"/>
          <w:b w:val="0"/>
          <w:i w:val="0"/>
          <w:color w:val="2E74B5"/>
          <w:sz w:val="32"/>
        </w:rPr>
        <w:t>Appendix B — Atlas Current and Target State</w:t>
      </w:r>
    </w:p>
    <w:p>
      <w:pPr>
        <w:pStyle w:val="Heading2"/>
      </w:pPr>
      <w:r>
        <w:rPr>
          <w:rFonts w:ascii="Calibri" w:hAnsi="Calibri"/>
          <w:b w:val="0"/>
          <w:i w:val="0"/>
          <w:color w:val="2E74B5"/>
          <w:sz w:val="26"/>
        </w:rPr>
        <w:t>Current State</w:t>
      </w:r>
    </w:p>
    <w:p>
      <w:pPr>
        <w:spacing w:after="80" w:line="300" w:lineRule="auto"/>
        <w:ind w:left="540" w:hanging="270"/>
      </w:pPr>
      <w:r>
        <w:rPr>
          <w:rFonts w:ascii="Calibri" w:hAnsi="Calibri"/>
          <w:color w:val="202020"/>
          <w:sz w:val="22"/>
        </w:rPr>
        <w:t xml:space="preserve">•  </w:t>
      </w:r>
      <w:r>
        <w:rPr>
          <w:rFonts w:ascii="Consolas" w:hAnsi="Consolas"/>
          <w:b w:val="0"/>
          <w:i w:val="0"/>
          <w:color w:val="202020"/>
          <w:sz w:val="22"/>
        </w:rPr>
        <w:t>atlas-shipping-app</w:t>
      </w:r>
      <w:r>
        <w:rPr>
          <w:rFonts w:ascii="Calibri" w:hAnsi="Calibri"/>
          <w:b w:val="0"/>
          <w:i w:val="0"/>
          <w:color w:val="202020"/>
          <w:sz w:val="22"/>
        </w:rPr>
        <w:t xml:space="preserve"> is the independently packaged and deployed business runtime.</w:t>
      </w:r>
    </w:p>
    <w:p>
      <w:pPr>
        <w:spacing w:after="80" w:line="300" w:lineRule="auto"/>
        <w:ind w:left="540" w:hanging="270"/>
      </w:pPr>
      <w:r>
        <w:rPr>
          <w:rFonts w:ascii="Calibri" w:hAnsi="Calibri"/>
          <w:color w:val="202020"/>
          <w:sz w:val="22"/>
        </w:rPr>
        <w:t xml:space="preserve">•  </w:t>
      </w:r>
      <w:r>
        <w:rPr>
          <w:rFonts w:ascii="Consolas" w:hAnsi="Consolas"/>
          <w:b w:val="0"/>
          <w:i w:val="0"/>
          <w:color w:val="202020"/>
          <w:sz w:val="22"/>
        </w:rPr>
        <w:t>atlas-agent-platform</w:t>
      </w:r>
      <w:r>
        <w:rPr>
          <w:rFonts w:ascii="Calibri" w:hAnsi="Calibri"/>
          <w:b w:val="0"/>
          <w:i w:val="0"/>
          <w:color w:val="202020"/>
          <w:sz w:val="22"/>
        </w:rPr>
        <w:t xml:space="preserve"> is independently built and tested but not independently containerized or deployed.</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CI tests both modules and deploys shipping only.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Shipping manifests contain no GitHub, Claude, webhook, or other agent-only secrets.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Airflow still uses legacy middleware-oriented naming or routing for agent work.</w:t>
      </w:r>
    </w:p>
    <w:p>
      <w:pPr>
        <w:pStyle w:val="Heading2"/>
      </w:pPr>
      <w:r>
        <w:rPr>
          <w:rFonts w:ascii="Calibri" w:hAnsi="Calibri"/>
          <w:b w:val="0"/>
          <w:i w:val="0"/>
          <w:color w:val="2E74B5"/>
          <w:sz w:val="26"/>
        </w:rPr>
        <w:t>Target State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Dedicated agent image, Kubernetes Deployment, Service, workload identity, and secrets.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Independent agent CI/CD deployment path.</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 xml:space="preserve">Direct </w:t>
      </w:r>
      <w:r>
        <w:rPr>
          <w:rFonts w:ascii="Consolas" w:hAnsi="Consolas"/>
          <w:b w:val="0"/>
          <w:i w:val="0"/>
          <w:color w:val="202020"/>
          <w:sz w:val="22"/>
        </w:rPr>
        <w:t>atlas_agent_api</w:t>
      </w:r>
      <w:r>
        <w:rPr>
          <w:rFonts w:ascii="Calibri" w:hAnsi="Calibri"/>
          <w:b w:val="0"/>
          <w:i w:val="0"/>
          <w:color w:val="202020"/>
          <w:sz w:val="22"/>
        </w:rPr>
        <w:t xml:space="preserve"> Airflow routing.</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Removal of legacy middleware routes, names, permissions, and compatibility paths after verified cutover.</w:t>
      </w:r>
    </w:p>
    <w:p>
      <w:pPr>
        <w:pStyle w:val="Heading2"/>
      </w:pPr>
      <w:r>
        <w:rPr>
          <w:rFonts w:ascii="Calibri" w:hAnsi="Calibri"/>
          <w:b w:val="0"/>
          <w:i w:val="0"/>
          <w:color w:val="2E74B5"/>
          <w:sz w:val="26"/>
        </w:rPr>
        <w:t>Agent Deployment Trigger</w:t>
      </w:r>
    </w:p>
    <w:p>
      <w:r>
        <w:rPr>
          <w:rFonts w:ascii="Calibri" w:hAnsi="Calibri"/>
          <w:b w:val="0"/>
          <w:i w:val="0"/>
          <w:color w:val="202020"/>
          <w:sz w:val="22"/>
        </w:rPr>
        <w:t>Complete runtime separation when production agent workload, distinct scaling, security ownership, or release coupling justifies the operating cost.</w:t>
      </w:r>
    </w:p>
    <w:p>
      <w:pPr>
        <w:pStyle w:val="Heading1"/>
      </w:pPr>
      <w:r>
        <w:rPr>
          <w:rFonts w:ascii="Calibri" w:hAnsi="Calibri"/>
          <w:b w:val="0"/>
          <w:i w:val="0"/>
          <w:color w:val="2E74B5"/>
          <w:sz w:val="32"/>
        </w:rPr>
        <w:t>Appendix C — Initial ADR Register</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ADR-0001 — Adopt Atlas naming and package namespace</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ADR-0002 — Isolate carrier integrations behind adapters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ADR-0003 — Separate carrier authentication strategies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ADR-0004 — Use SNS fan-out and one SQS queue per independent consumer</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ADR-0005 — Use a transactional outbox</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ADR-0006 — Separate shipping and agent application modules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ADR-0007 — Keep one repository initially</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ADR-0008 — Defer independent agent deployment</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ADR-0009 — Prevent agents from approving their own changes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ADR-0010 — Use bounded eventual consistency for downstream reactions</w:t>
      </w:r>
    </w:p>
    <w:p>
      <w:pPr>
        <w:spacing w:after="80" w:line="300" w:lineRule="auto"/>
        <w:ind w:left="540" w:hanging="270"/>
      </w:pPr>
      <w:r>
        <w:rPr>
          <w:rFonts w:ascii="Calibri" w:hAnsi="Calibri"/>
          <w:color w:val="202020"/>
          <w:sz w:val="22"/>
        </w:rPr>
        <w:t xml:space="preserve">•  </w:t>
      </w:r>
      <w:r>
        <w:rPr>
          <w:rFonts w:ascii="Calibri" w:hAnsi="Calibri"/>
          <w:b w:val="0"/>
          <w:i w:val="0"/>
          <w:color w:val="202020"/>
          <w:sz w:val="22"/>
        </w:rPr>
        <w:t>ADR-0011 — Do not create a broad common module</w:t>
      </w:r>
    </w:p>
    <w:p>
      <w:pPr>
        <w:pStyle w:val="Heading1"/>
      </w:pPr>
      <w:r>
        <w:rPr>
          <w:rFonts w:ascii="Calibri" w:hAnsi="Calibri"/>
          <w:b w:val="0"/>
          <w:i w:val="0"/>
          <w:color w:val="2E74B5"/>
          <w:sz w:val="32"/>
        </w:rPr>
        <w:t>Appendix D — Editorial Change Log</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rPr>
          <w:cantSplit/>
          <w:trHeight w:hRule="atLeast"/>
          <w:tblHeader w:val="true"/>
        </w:trPr>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Date</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Section</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Change</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Owner</w:t>
            </w:r>
          </w:p>
        </w:tc>
        <w:tc>
          <w:tcPr>
            <w:tcW w:type="dxa" w:w="1872"/>
            <w:vAlign w:val="center"/>
            <w:tcMar>
              <w:top w:w="80" w:type="dxa"/>
              <w:bottom w:w="80" w:type="dxa"/>
              <w:start w:w="120" w:type="dxa"/>
              <w:end w:w="120" w:type="dxa"/>
            </w:tcMar>
            <w:shd w:fill="E8EEF5"/>
          </w:tcPr>
          <w:p>
            <w:pPr>
              <w:keepNext/>
              <w:spacing w:before="0" w:after="0" w:line="240" w:lineRule="auto"/>
            </w:pPr>
            <w:r>
              <w:rPr>
                <w:rFonts w:ascii="Calibri" w:hAnsi="Calibri"/>
                <w:b/>
                <w:i w:val="0"/>
                <w:color w:val="202020"/>
                <w:sz w:val="21"/>
              </w:rPr>
              <w:t>Status</w:t>
            </w:r>
          </w:p>
        </w:tc>
      </w:tr>
      <w:tr>
        <w:trPr>
          <w:cantSplit/>
          <w:trHeight w:hRule="atLeast"/>
        </w:trPr>
        <w:tc>
          <w:tcPr>
            <w:tcW w:type="dxa" w:w="1872"/>
            <w:vAlign w:val="center"/>
            <w:tcMar>
              <w:top w:w="80" w:type="dxa"/>
              <w:bottom w:w="80" w:type="dxa"/>
              <w:start w:w="120" w:type="dxa"/>
              <w:end w:w="120" w:type="dxa"/>
            </w:tcMar>
          </w:tcPr>
          <w:p>
            <w:pPr>
              <w:keepNext/>
              <w:spacing w:before="0" w:after="0" w:line="240" w:lineRule="auto"/>
            </w:pPr>
          </w:p>
        </w:tc>
        <w:tc>
          <w:tcPr>
            <w:tcW w:type="dxa" w:w="1872"/>
            <w:vAlign w:val="center"/>
            <w:tcMar>
              <w:top w:w="80" w:type="dxa"/>
              <w:bottom w:w="80" w:type="dxa"/>
              <w:start w:w="120" w:type="dxa"/>
              <w:end w:w="120" w:type="dxa"/>
            </w:tcMar>
          </w:tcPr>
          <w:p>
            <w:pPr>
              <w:keepNext/>
              <w:spacing w:before="0" w:after="0" w:line="240" w:lineRule="auto"/>
            </w:pPr>
          </w:p>
        </w:tc>
        <w:tc>
          <w:tcPr>
            <w:tcW w:type="dxa" w:w="1872"/>
            <w:vAlign w:val="center"/>
            <w:tcMar>
              <w:top w:w="80" w:type="dxa"/>
              <w:bottom w:w="80" w:type="dxa"/>
              <w:start w:w="120" w:type="dxa"/>
              <w:end w:w="120" w:type="dxa"/>
            </w:tcMar>
          </w:tcPr>
          <w:p>
            <w:pPr>
              <w:keepNext/>
              <w:spacing w:before="0" w:after="0" w:line="240" w:lineRule="auto"/>
            </w:pPr>
          </w:p>
        </w:tc>
        <w:tc>
          <w:tcPr>
            <w:tcW w:type="dxa" w:w="1872"/>
            <w:vAlign w:val="center"/>
            <w:tcMar>
              <w:top w:w="80" w:type="dxa"/>
              <w:bottom w:w="80" w:type="dxa"/>
              <w:start w:w="120" w:type="dxa"/>
              <w:end w:w="120" w:type="dxa"/>
            </w:tcMar>
          </w:tcPr>
          <w:p>
            <w:pPr>
              <w:keepNext/>
              <w:spacing w:before="0" w:after="0" w:line="240" w:lineRule="auto"/>
            </w:pPr>
          </w:p>
        </w:tc>
        <w:tc>
          <w:tcPr>
            <w:tcW w:type="dxa" w:w="1872"/>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1872"/>
            <w:vAlign w:val="center"/>
            <w:tcMar>
              <w:top w:w="80" w:type="dxa"/>
              <w:bottom w:w="80" w:type="dxa"/>
              <w:start w:w="120" w:type="dxa"/>
              <w:end w:w="120" w:type="dxa"/>
            </w:tcMar>
          </w:tcPr>
          <w:p>
            <w:pPr>
              <w:keepNext/>
              <w:spacing w:before="0" w:after="0" w:line="240" w:lineRule="auto"/>
            </w:pPr>
          </w:p>
        </w:tc>
        <w:tc>
          <w:tcPr>
            <w:tcW w:type="dxa" w:w="1872"/>
            <w:vAlign w:val="center"/>
            <w:tcMar>
              <w:top w:w="80" w:type="dxa"/>
              <w:bottom w:w="80" w:type="dxa"/>
              <w:start w:w="120" w:type="dxa"/>
              <w:end w:w="120" w:type="dxa"/>
            </w:tcMar>
          </w:tcPr>
          <w:p>
            <w:pPr>
              <w:keepNext/>
              <w:spacing w:before="0" w:after="0" w:line="240" w:lineRule="auto"/>
            </w:pPr>
          </w:p>
        </w:tc>
        <w:tc>
          <w:tcPr>
            <w:tcW w:type="dxa" w:w="1872"/>
            <w:vAlign w:val="center"/>
            <w:tcMar>
              <w:top w:w="80" w:type="dxa"/>
              <w:bottom w:w="80" w:type="dxa"/>
              <w:start w:w="120" w:type="dxa"/>
              <w:end w:w="120" w:type="dxa"/>
            </w:tcMar>
          </w:tcPr>
          <w:p>
            <w:pPr>
              <w:keepNext/>
              <w:spacing w:before="0" w:after="0" w:line="240" w:lineRule="auto"/>
            </w:pPr>
          </w:p>
        </w:tc>
        <w:tc>
          <w:tcPr>
            <w:tcW w:type="dxa" w:w="1872"/>
            <w:vAlign w:val="center"/>
            <w:tcMar>
              <w:top w:w="80" w:type="dxa"/>
              <w:bottom w:w="80" w:type="dxa"/>
              <w:start w:w="120" w:type="dxa"/>
              <w:end w:w="120" w:type="dxa"/>
            </w:tcMar>
          </w:tcPr>
          <w:p>
            <w:pPr>
              <w:keepNext/>
              <w:spacing w:before="0" w:after="0" w:line="240" w:lineRule="auto"/>
            </w:pPr>
          </w:p>
        </w:tc>
        <w:tc>
          <w:tcPr>
            <w:tcW w:type="dxa" w:w="1872"/>
            <w:vAlign w:val="center"/>
            <w:tcMar>
              <w:top w:w="80" w:type="dxa"/>
              <w:bottom w:w="80" w:type="dxa"/>
              <w:start w:w="120" w:type="dxa"/>
              <w:end w:w="120" w:type="dxa"/>
            </w:tcMar>
          </w:tcPr>
          <w:p>
            <w:pPr>
              <w:keepNext/>
              <w:spacing w:before="0" w:after="0" w:line="240" w:lineRule="auto"/>
            </w:pPr>
          </w:p>
        </w:tc>
      </w:tr>
      <w:tr>
        <w:trPr>
          <w:cantSplit/>
          <w:trHeight w:hRule="atLeast"/>
        </w:trPr>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c>
          <w:tcPr>
            <w:tcW w:type="dxa" w:w="1872"/>
            <w:vAlign w:val="center"/>
            <w:tcMar>
              <w:top w:w="80" w:type="dxa"/>
              <w:bottom w:w="80" w:type="dxa"/>
              <w:start w:w="120" w:type="dxa"/>
              <w:end w:w="120" w:type="dxa"/>
            </w:tcMar>
          </w:tcPr>
          <w:p>
            <w:pPr>
              <w:spacing w:before="0" w:after="0" w:line="240" w:lineRule="auto"/>
            </w:pPr>
          </w:p>
        </w:tc>
      </w:tr>
    </w:tbl>
    <w:p>
      <w:pPr>
        <w:spacing w:before="0" w:after="40"/>
      </w:pPr>
    </w:p>
    <w:sectPr w:rsidR="00FC693F" w:rsidRPr="0006063C" w:rsidSect="00034616">
      <w:footerReference w:type="default" r:id="rId9"/>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color w:val="666666"/>
        <w:sz w:val="18"/>
      </w:rPr>
      <w:t xml:space="preserve">Atlas Course Review Edition  •  </w:t>
    </w:r>
    <w:r>
      <w:rPr>
        <w:rFonts w:ascii="Calibri" w:hAnsi="Calibri"/>
        <w:color w:val="666666"/>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Lines/>
      <w:spacing w:before="360" w:after="200" w:line="240" w:lineRule="auto"/>
      <w:ind w:left="0" w:firstLine="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Lines/>
      <w:spacing w:before="280" w:after="140" w:line="240" w:lineRule="auto"/>
      <w:ind w:left="0" w:firstLine="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Lines/>
      <w:spacing w:before="200" w:after="100" w:line="240" w:lineRule="auto"/>
      <w:ind w:left="0" w:firstLine="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Atlas Enterprise Platform — Software Architecture Course Review &amp; Update Edition</dc:title>
  <dc:subject>Generated editorial control copy</dc:subject>
  <dc:creator>Atlas Architecture Course</dc:creator>
  <cp:keywords>Atlas, software architecture, review edition</cp:keywords>
  <dc:description>generated by python-docx</dc:description>
  <cp:lastModifiedBy/>
  <cp:revision>1</cp:revision>
  <dcterms:created xsi:type="dcterms:W3CDTF">2013-12-23T23:15:00Z</dcterms:created>
  <dcterms:modified xsi:type="dcterms:W3CDTF">2013-12-23T23:15:00Z</dcterms:modified>
  <cp:category/>
</cp:coreProperties>
</file>