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新北市＿＿＿＿國小教學方案設計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授課年級：六 年 〇 班〔待補：班級人數〕　　　　　　授課日期：〔待補：民國年月日、星期、節次〕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任教學科：社會領域　　　　　　教 學 者（教案設計）：〔待補：教學者姓名〕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單元名稱：第一單元〈消費選擇與理財規劃〉第一課統整延伸節〔待補：節次〕　　備課成員：〔待補；若無請填無〕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使用版本：翰林六上（挑戰性課題）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</w:t>
            </w:r>
            <w:r w:rsidR="008B435B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〈甘蔗吸管〉同時呈現塑膠廢棄、臺灣農業材料再利用，以及『可分解卻不能回收、仍須焚燒』的矛盾，適合讓學生看見消費選擇沒有完美答案。學生可能記得價格、品質、需求與友善環境等規準，面對環保標示時，卻容易抓住天然或可分解的單一優點，忽略產品完整使用歷程及其限制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本課以『它能叫環保吸管嗎』為挑戰，讓學生從教材擷取正反證據、設計誠實標籤，並在聽見不同立場後修正文字。教師不公布標準答案，也不替學生裁決可以或不可以，而以傾聽、串連與回歸資料，支持學生形成有條件、能承擔責任的判斷。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領綱具體</w:t>
            </w:r>
            <w:proofErr w:type="gramEnd"/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A2 系統思考與解決問題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社-E-A2 敏覺居住地方的社會、自然與人文環境變遷，關注生活問題及其影響，並思考解決方法。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C1 道德實踐與公民意識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社-E-C1 培養良好的生活習慣，理解並遵守社會規範，參與公共事務，養成社會責任感，尊重並維護自己和他人的人權，關懷自然環境與人類社會的永續發展。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新細明體" w:hAnsi="新細明體" w:eastAsia="新細明體" w:cs="新細明體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學習</w:t>
                            </w:r>
                            <w:r>
                              <w:rPr>
                                <w:rFonts w:ascii="新細明體" w:hAnsi="新細明體" w:eastAsia="新細明體" w:cs="新細明體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新細明體" w:hAnsi="新細明體" w:eastAsia="新細明體" w:cs="新細明體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3b-III-2 摘取及整理社會議題相關資料的重點，判讀其正確性及價值，並加以描述和解釋。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3c-III-1 聆聽他人意見，表達自我觀點，並能與他人討論。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Da-III-1 依據需求與價值觀做選擇時，須評估風險、結果及承擔責任，且不應侵害他人福祉或正當權益。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Ce-III-2 在經濟發展過程中，資源的使用會產生意義與價值的轉變，但也可能引發爭議。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能從〈甘蔗吸管〉教材指出至少一項支持證據與一項限制，判斷產品能否稱為環保吸管，並說明理由。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能把主張與限制寫成不誤導的產品標籤，並在聽見不同立場後，留下修改痕跡或補充條件。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教材組織</w:t>
            </w:r>
            <w:r w:rsidR="008B0519"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與學生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rPr>
                <w:rFonts w:ascii="新細明體" w:hAnsi="新細明體" w:eastAsia="新細明體" w:cs="新細明體"/>
                <w:sz w:val="24"/>
                <w:szCs w:val="24"/>
              </w:rPr>
              <w:drawing>
                <wp:inline xmlns:a="http://schemas.openxmlformats.org/drawingml/2006/main" xmlns:pic="http://schemas.openxmlformats.org/drawingml/2006/picture">
                  <wp:extent cx="6263999" cy="109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09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教材第 32 頁建立塑膠廢棄、甘蔗渣再利用、分解情形與市場接受等正面脈絡；第 33 頁接著呈現耐熱、無塑化劑等優點，以及不能重複使用、在臺灣不能回收、仍須焚燒等限制。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這個先肯定再質疑的結構，支持學生從單一特徵判斷，跳躍到比較完整生命歷程的條件式判斷。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第一次寫標籤時，可能把天然材質、可分解直接等同於完全環保，沒有注意第 33 頁的處理限制。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小組舉證時，可能把能在土壤中分解說成在臺灣可以回收，混淆分解、回收與焚燒。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設計主張時，可能抄寫優點卻未回答能否稱為環保吸管，或使用教材沒有支持的絕對語句。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全班串連時，可能停在可以或不可以，尚未想到比較對象與成立條件。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〔待補：請指名到組別或學生代號，說明閱讀停滯、思考超前、具潛力及幾乎不發言者。補齊後須同步修改觀課焦點與教師巡走順序。〕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7597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學習路徑為個人圈證據、Pair 核對、四人組建立判準、製作正反並陳的產品標籤、全班串連、個人修正。先讓每人留下初始判斷，才看得見協同後是否發生學習。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預想學生會問：可以分解為什麼不能回收？只要比塑膠好就算環保嗎？還是一次性用品也能叫環保嗎？比較貴跟環保有什麼關係？標籤要把缺點都寫出來嗎？教師不立即回答，把問題轉回教材與同儕。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依序進行原文圈畫、兩人互證、四人組分類、個人初稿、小組共同標籤、全班立場串連與個人修訂。小組成品須同時保留主張和限制，避免活動退回抄優點。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台詞保持短句，不以很好或答對了收回發言權。學生停頓時等待，含糊時請其重說；立場衝突時只追問哪一句資料，細讀學生的筆與修改痕跡。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每人一份課本第 32～33 頁影本或原書、一張產品標籤學習單；每組一張 A3 標籤紙與兩色筆。第一色寫初稿，第二色留給聽見他組意見後的修正，讓學習變化可見。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甘蔗吸管把臺灣農業材料、全球減塑、企業行銷與消費者判斷放進同一個產品。教材並列優點和限制，能支持多種立場，又要求學生回到相同資料辯護。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目標一檢核正反證據是否完整，目標二檢核是否形成不誤導、能修改的判斷。兩項都能從學生圈畫、口語舉證與兩色修改直接觀察，不以背誦環保行動為評量。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一人一份學習單含我找到的支持證據、我找到的限制、我的第一版標籤、聽完後我改了什麼。協同時可以借用同儕證據，但每人最後都要寫出自己的修訂理由。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〔暫定前提，待校對〕學生已讀過第一課第 14～23 頁，能說出價格、品質、需求及友善環境會影響消費選擇；尚未確定能否區分較環保與完全環保，本節將用初稿診斷。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採個人、Pair、四人組、全班、個人的順序。個人先寫避免跟隨，Pair 讓閱讀停滯者能低風險求助，四人組容納衝突，全班串連差異，最後回到個人判斷。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〔暫定，待校對〕採四人組座位，每人都能看見組員學習單，黑板分為可以、不可以、有條件三區貼作品。若現場座位不同，仍須保留 Pair 與四人協同動線。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主材料只用翰林課本第 32～33 頁與產品標籤學習單，不另加網路資料干擾證據邊界。全班分享中才把三種立場並置，作為二度衝突，不由教師另投答案型資料。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rPr>
          <w:rFonts w:ascii="新細明體" w:hAnsi="新細明體" w:eastAsia="新細明體" w:cs="新細明體"/>
          <w:sz w:val="24"/>
          <w:szCs w:val="24"/>
        </w:rP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各節次學習活動設計的重點（本次公開課節次待補）</w:t>
            </w:r>
          </w:p>
        </w:tc>
      </w:tr>
      <w:tr w:rsidR="00FF6E94" w:rsidRPr="00FF6E94" w14:paraId="6CC7DD07" w14:textId="77777777" w:rsidTr="00FF6E94">
        <w:trPr>
          <w:trHeight w:val="260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〔待補：本單元總節數與本節確切節次。〕本稿暫按第一課統整延伸節設計，並以學生已完成第 14～23 頁、知道消費因素與友善環境行動為前提；因此不再列舉環保做法，也不重做課本的優缺點整理，而把 40 分鐘集中在環保名稱的判準、證據與責任。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教學活動</w:t>
            </w: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教師支援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新細明體" w:hAnsi="新細明體" w:eastAsia="新細明體" w:cs="新細明體"/>
                <w:b/>
                <w:color w:val="000000" w:themeColor="text1"/>
                <w:sz w:val="24"/>
                <w:szCs w:val="24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導入與發現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各自觀看甘蔗吸管圖片，勾選可以、不可以或還不確定，寫一句直覺理由（2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各自閱讀並圈出第 32～33 頁一項支持證據與一項限制（3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與旁邊同學交換核對：指出證據在第幾頁哪一句，再補圈一處自己漏看的資料（2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四人組快速分類：把資料分成材料、使用、丟棄後，找出最矛盾的一組資料（3 分）。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先不解釋環保定義，觀察誰只看圖片、誰圈到第 33 頁限制，記下兩種學生作為後段串連對象。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【反問】「你自己的看法呢？」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【提示】「先圈原文。」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【釐清】「再一次，哪一句？」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Pair 開始後，觀察閱讀停滯者能否借助同儕定位原文，作為下一段巡走優先順序。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探究與深化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各自完成產品標籤初稿：正面一句主張、背面兩項限制，並標出引用頁碼（4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輪流讀出自己的標籤；每人先說我聽到上一位用了哪項證據，再說自己的不同處（6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共同製作一張 A3 標籤：決定能否使用環保一詞；若使用，須寫清比較對象或成立條件；背面保留兩項限制（7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4. 選出並練習 30 秒辯護：我們主張……，依據是……；但它仍有……限制（3 分）。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巡走傾聽可以、不可以、有條件三種立場，記下有代表性的原句及作品張數，供全班分享排序；不在組內裁決結論。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【轉問】「你聽見他用哪項證據？」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【深究】「那它的限制呢？」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【提示】「回到第 33 頁。」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【釐清】「比較環保是跟誰比？」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發現單一學生包辦時：【轉問】「這句是大家的意思嗎？」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挑戰與聚斂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1. 聆聽並比較可以、不可以、有條件三種代表作品；其餘學生記下最想帶走的一項證據（5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2. 全班找出哪些標籤可能誤導消費者；發言者須指出作品文字與教材依據，原組可以補充或修正（3 分）。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3. 各自用第二色修訂或保留原案，完成我改或不改，因為……（2 分）。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依巡走紀錄刻意串連不同立場；觀察哪些學生在聽見限制後由絕對語句改為條件語句，記下改變時刻。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【轉引】串連進程（三組，見附錄二 A）：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生1（可以）「第 32 頁甘蔗渣做的」→「還有不同的？」→ 生2（不可以）「第 33 頁不能回收」→「多了一種。還有嗎？」→ 生3（有條件）「比塑膠環保，背面寫不能回收」→ 收束：「三張都用了 32 或 33 頁。哪一張消費者看了可能誤會？」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【轉問】串連進程（三位，見附錄二 B）：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生1（可以）「天然的就是環保」→「不可以那組，你們聽見他用哪項證據？你們怎麼想？」→ 生2（不可以）「他用 32 頁材料，33 頁說還是垃圾」→「生3，這兩組的差別在哪裡？」→ 生3 講得斷斷續續 →【釐清】「再一次。」／【轉問】「你想先找誰幫忙？」→【回歸】「回到資料。32 頁講哪個階段、33 頁講哪個階段？」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【深究】串連進程（三位，見附錄二 C）：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生1「它比較環保」→「跟誰比？」→ 生2「跟塑膠比」→「只寫『環保吸管』四個字，哪個字可能讓人誤會？」→ 生3「要寫『比塑膠』？」→「那你自己那張，改不改？用第二色寫。」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【提示】「回到資料。」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最後不票選唯一答案，只收集三類判斷成立所需的條件。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10 分</w:t>
            </w:r>
          </w:p>
        </w:tc>
      </w:tr>
    </w:tbl>
    <w:p>
      <w:r>
        <w:rPr>
          <w:rFonts w:ascii="新細明體" w:hAnsi="新細明體" w:eastAsia="新細明體" w:cs="新細明體"/>
          <w:b w:val="0"/>
          <w:sz w:val="24"/>
          <w:szCs w:val="24"/>
        </w:rPr>
        <w:t>彈性條款：若前段閱讀與證據定位速度較慢，全班三類立場的完整串連可延至下一節，但本節仍保留最後 2 分鐘個人修訂。安全提醒：本節不以熱水測試吸管，也不讓學生咬食、試吃或共用吸管。</w:t>
      </w:r>
    </w:p>
    <w:p>
      <w:r>
        <w:rPr>
          <w:rFonts w:ascii="新細明體" w:hAnsi="新細明體" w:eastAsia="新細明體" w:cs="新細明體"/>
          <w:b/>
          <w:sz w:val="24"/>
          <w:szCs w:val="24"/>
        </w:rPr>
        <w:t>附錄：理答預想表（涵蓋轉引、轉問、反問、提示、釐清、深究）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預想的學生回應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判讀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教師台詞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（講錯）「它可以分解，所以在臺灣可以回收。」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混淆分解、回收與焚燒，尚未整合第 33 頁資訊。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提示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「回到第 33 頁。」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（沉默）「……我不知道要選哪一邊。」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感覺到證據衝突，但還不能轉成條件式判斷。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轉問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「你想先找誰幫忙？」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（離題）「我不喜歡甘蔗味，所以它不環保。」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把個人偏好當成環境判準，沒有回到教材證據。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「哪一項資料支持？」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「天然的就是百分之百環保。」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抓到材料來源優點，但忽略產品丟棄後限制。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釐清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「百分之百？再一次。」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「不能叫環保，因為它還是垃圾。」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能看到限制，但可能抹除它相對塑膠吸管的優點。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反問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「那第 32 頁呢？」</w:t>
            </w:r>
          </w:p>
        </w:tc>
      </w:tr>
    </w:tbl>
    <w:p>
      <w:r>
        <w:rPr>
          <w:rFonts w:ascii="新細明體" w:hAnsi="新細明體" w:eastAsia="新細明體" w:cs="新細明體"/>
          <w:b/>
          <w:sz w:val="24"/>
          <w:szCs w:val="24"/>
        </w:rPr>
        <w:t>附錄二：串連進程模擬（轉引／轉問／深究各一段，三位學生、三段發言）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理答不是一問一答，是把三個人的發言串成一條線。下表預想每一段串連的三步：學生說了什麼、教師接哪一句、這一步把誰的思考跟誰串在一起。學生以生1／生2／生3 代稱（〔待補特殊學生後，把預定指名的對象填進去〕）。真實課堂學生不會照講，重點是教師在每一步「不評價、不代答」，讓下一位學生的發言接在上一位的發言上。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1587"/>
        <w:gridCol w:w="397"/>
        <w:gridCol w:w="2835"/>
        <w:gridCol w:w="3005"/>
        <w:gridCol w:w="2608"/>
      </w:tblGrid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策略／情境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序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學生發言（預想）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教師理答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這一步在串什麼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轉引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第三段第 1 步・聆聽可以／不可以／有條件三種代表作品（挑戰與聚斂，第 30～35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高原策略：三種立場的作品各讀一次，不評價；收束句把三種立場的共同點（都引了第 33 頁的限制）變成下一步的題目。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生1（「可以」組）：「我們的標籤寫『環保吸管』，因為第 32 頁說它用甘蔗渣做的，減少塑膠。」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【轉引】「這一組是可以，依據第 32 頁。還有不同的？」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不說「對」「很好」。只複述立場與頁碼，把發言權交給下一種立場。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生2（「不可以」組）：「我們寫『不能叫環保』，因為第 33 頁說它在臺灣不能回收，還是垃圾。」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【轉引】「多了一種：不可以，依據第 33 頁。還有嗎？」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第二個視點疊上去。兩組引的是同一份教材的不同頁——先不點破。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生3（「有條件」組）：「我們寫『比塑膠吸管環保』，背面寫『在臺灣無法回收』。」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【轉引・收束】「可以、不可以、有條件，三種。三張標籤都用了第 32 或 33 頁的資料。現在——哪一張標籤，消費者看了可能會誤會？」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三個視點到齊才拋問題。收束句不票選，把「誤導消費者」這個第 2 步的題目丟出來。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轉問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第三段第 2 步・「可以」與「不可以」兩組對話（第 35～38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學生與學生串連：立場相反的兩組先講，第三位說出兩者其實各引一頁；教師不裁決，最後用回歸把裁決交給教材。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生1（「可以」組）：「它是甘蔗做的，天然的，所以就是環保。」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【轉問】「不可以那一組，你們聽見他用哪項證據？你們當時是怎麼想的？」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不回饋生1，先要求對方重述他的證據，再說自己的。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生2（「不可以」組）：「他用第 32 頁的材料。可是第 33 頁說丟掉以後還是垃圾，不能回收。」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【轉問】「生3，這兩組的差別在哪裡？」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不說誰對。找第三位（預定為導入段被記下「只看圖片、沒圈到第 33 頁限制」的學生）把兩頁並排講出來。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生3：「一個看……材料；一個看……丟掉以後？」（講得斷斷續續）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【釐清】「再一次。」→（仍卡）【轉問】「你想先找誰幫忙？」→ 生3 自己指名同儕補完 →【回歸】「回到資料。第 32 頁講的是哪個階段，第 33 頁講的是哪個階段？」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修正的動作留在學生身上。最後不由教師說「要看整個生命週期」，由兩頁的段落標題裁決。</w:t>
            </w:r>
          </w:p>
        </w:tc>
      </w:tr>
      <w:tr>
        <w:tc>
          <w:tcPr>
            <w:tcW w:type="dxa" w:w="1587"/>
            <w:vMerge w:val="restart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深究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第三段第 2 步末・答對但停在表層時往下追（第 37～39 分鐘）</w:t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</w:r>
          </w:p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從「比較環保」追到「跟誰比」，再追到「哪個字讓人誤會」，最後推到每人各自修訂標籤。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生1：「它比較環保。」（方向正確，停在表層）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【深究】「比較環保是跟誰比？」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不肯定、不否定，只追「比較」的比較對象。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生2：「跟塑膠吸管比。塑膠幾百年不會分解，甘蔗的會。」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【深究】「那如果標籤只寫『環保吸管』四個字，沒寫跟誰比——哪個字可能讓人誤會？」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把「比較對象」推到標籤的文字，追的是「省略條件會不會誤導」。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生3：「『環保』……會以為可以回收，可是它在臺灣不能回收……所以要寫『比塑膠』？」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【深究】「那你自己那張，改不改？回到學習單，用第二色寫『我改或不改，因為……』。」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生3 說出的正是本節的判斷條件（用「環保」須寫清比較對象與成立條件）；教師不宣布「答對」，直接接第 3 步各自修訂。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新細明體" w:hAnsi="新細明體" w:eastAsia="新細明體" w:cs="新細明體"/>
          <w:color w:val="000000" w:themeColor="text1"/>
          <w:sz w:val="24"/>
          <w:szCs w:val="24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lastRenderedPageBreak/>
        <w:t>公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開</w:t>
      </w: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授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課紀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錄</w:t>
      </w:r>
      <w:proofErr w:type="gramEnd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授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〔待補：教學者〕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六年〇班〔待補：人數〕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〔待補：日期與節次〕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社會／翰林六上／第一單元第一課統整延伸〈甘蔗吸管〉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觀課</w:t>
      </w:r>
      <w:r w:rsidRPr="00FF6E94">
        <w:rPr>
          <w:rFonts w:ascii="新細明體" w:hAnsi="新細明體" w:eastAsia="新細明體" w:cs="新細明體"/>
          <w:color w:val="000000" w:themeColor="text1"/>
          <w:sz w:val="24"/>
          <w:szCs w:val="24"/>
        </w:rPr>
        <w:t>重點</w:t>
      </w:r>
      <w:proofErr w:type="gramEnd"/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1.〔待補特殊學生後改為指名〕就近觀察 1～2 位第一次判斷天然、可分解就是完全環保的學生：讀到第 33 頁限制或聽見同儕發言後，何時修改或保留原判斷？依據是什麼？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2.〔待補特殊學生後改為指名〕就近觀察 1 位較少發言的學生：Pair 與四人輪流發言時是否說出一項教材證據？哪個同儕動作或教師台詞使發言發生？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3. 觀察一個出現立場衝突的小組：組員是否先重述他人證據，再形成有條件的共同標籤？記下作品被修改的文字與時間。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面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3.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要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是否有安心學習的環境？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1-2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是否有聆聽學習的環境？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學生學習動機是否持續？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kern w:val="2"/>
                <w:sz w:val="24"/>
                <w:szCs w:val="24"/>
              </w:rPr>
              <w:t>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學生是否相互關注與傾聽？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2-3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2-4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學生是否投入參與學習？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2-5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是否發現有特殊表現的學生？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(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如學習停滯、超前和學習具潛力的學生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3-1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學生學習是否成立？如何發生？何時發生？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3-2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lastRenderedPageBreak/>
              <w:t>學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學習紀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觀課</w:t>
            </w: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者</w:t>
            </w:r>
            <w:proofErr w:type="gramEnd"/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新細明體" w:hAnsi="新細明體" w:eastAsia="新細明體" w:cs="新細明體"/>
                <w:color w:val="000000" w:themeColor="text1"/>
                <w:sz w:val="24"/>
                <w:szCs w:val="24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附件一 甘蔗吸管產品標籤學習單</w:t>
      </w:r>
    </w:p>
    <w:p>
      <w:r>
        <w:rPr>
          <w:rFonts w:ascii="新細明體" w:hAnsi="新細明體" w:eastAsia="新細明體" w:cs="新細明體"/>
          <w:b w:val="0"/>
          <w:sz w:val="24"/>
          <w:szCs w:val="24"/>
        </w:rPr>
        <w:t>課題：甘蔗吸管可以稱為環保吸管嗎？請用課本第 32～33 頁的資料完成，第二次修訂請改用另一種顏色。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班級：＿＿＿＿　座號：＿＿＿＿　姓名：＿＿＿＿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一、我的第一個判斷　□ 可以　□ 不可以　□ 還不確定</w:t>
      </w:r>
    </w:p>
    <w:p>
      <w:pPr>
        <w:spacing w:after="0"/>
      </w:pPr>
      <w:r>
        <w:rPr>
          <w:rFonts w:ascii="新細明體" w:hAnsi="新細明體" w:eastAsia="新細明體" w:cs="新細明體"/>
          <w:b w:val="0"/>
          <w:sz w:val="24"/>
          <w:szCs w:val="24"/>
        </w:rPr>
        <w:t>我的直覺理由：＿＿＿＿＿＿＿＿＿＿＿＿＿＿＿＿＿＿＿＿＿＿＿＿</w:t>
      </w:r>
    </w:p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證據整理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523"/>
        <w:gridCol w:w="7931"/>
      </w:tblGrid>
      <w:tr>
        <w:trPr>
          <w:cantSplit/>
          <w:tblHeader/>
        </w:trPr>
        <w:tc>
          <w:tcPr>
            <w:tcW w:type="dxa" w:w="2523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欄位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我的紀錄</w:t>
            </w:r>
          </w:p>
        </w:tc>
      </w:tr>
      <w:tr>
        <w:trPr>
          <w:cantSplit/>
          <w:trHeight w:val="907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支持證據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＿＿＿＿＿＿＿＿＿＿＿＿＿＿＿＿＿＿＿＿（第＿＿頁）</w:t>
            </w:r>
          </w:p>
        </w:tc>
      </w:tr>
      <w:tr>
        <w:trPr>
          <w:cantSplit/>
          <w:trHeight w:val="907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限制一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＿＿＿＿＿＿＿＿＿＿＿＿＿＿＿＿＿＿＿＿（第＿＿頁）</w:t>
            </w:r>
          </w:p>
        </w:tc>
      </w:tr>
      <w:tr>
        <w:trPr>
          <w:cantSplit/>
          <w:trHeight w:val="907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限制二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＿＿＿＿＿＿＿＿＿＿＿＿＿＿＿＿＿＿＿＿（第＿＿頁）</w:t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產品標籤與修訂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2523"/>
        <w:gridCol w:w="7931"/>
      </w:tblGrid>
      <w:tr>
        <w:trPr>
          <w:cantSplit/>
          <w:tblHeader/>
        </w:trPr>
        <w:tc>
          <w:tcPr>
            <w:tcW w:type="dxa" w:w="2523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欄位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我的文字</w:t>
            </w:r>
          </w:p>
        </w:tc>
      </w:tr>
      <w:tr>
        <w:trPr>
          <w:cantSplit/>
          <w:trHeight w:val="1134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正面主張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＿＿＿＿＿＿＿＿＿＿＿＿＿＿＿＿＿＿＿＿＿＿＿＿</w:t>
            </w:r>
          </w:p>
        </w:tc>
      </w:tr>
      <w:tr>
        <w:trPr>
          <w:cantSplit/>
          <w:trHeight w:val="1134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背面限制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＿＿＿＿＿＿＿＿＿＿＿＿＿＿＿＿＿＿＿＿＿＿＿＿</w:t>
            </w:r>
          </w:p>
        </w:tc>
      </w:tr>
      <w:tr>
        <w:trPr>
          <w:cantSplit/>
          <w:trHeight w:val="1134"/>
        </w:trPr>
        <w:tc>
          <w:tcPr>
            <w:tcW w:type="dxa" w:w="2523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第二色修訂</w:t>
            </w:r>
          </w:p>
        </w:tc>
        <w:tc>
          <w:tcPr>
            <w:tcW w:type="dxa" w:w="7931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我改／不改，因為＿＿＿＿＿＿＿＿＿＿＿＿＿＿＿＿</w:t>
            </w:r>
          </w:p>
        </w:tc>
      </w:tr>
    </w:tbl>
    <w:p/>
    <w:p>
      <w:pPr>
        <w:keepNext/>
      </w:pPr>
      <w:r>
        <w:rPr>
          <w:rFonts w:ascii="新細明體" w:hAnsi="新細明體" w:eastAsia="新細明體" w:cs="新細明體"/>
          <w:b/>
          <w:sz w:val="24"/>
          <w:szCs w:val="24"/>
        </w:rPr>
        <w:t>形成性評量規準</w:t>
      </w:r>
    </w:p>
    <w:tbl>
      <w:tblPr>
        <w:tblStyle w:val="a4"/>
        <w:tblW w:type="pct" w:w="5000"/>
        <w:tblLook w:firstColumn="1" w:firstRow="1" w:lastColumn="0" w:lastRow="0" w:noHBand="0" w:noVBand="1" w:val="04A0"/>
        <w:tblLayout w:type="fixed"/>
      </w:tblPr>
      <w:tblGrid>
        <w:gridCol w:w="1802"/>
        <w:gridCol w:w="8652"/>
      </w:tblGrid>
      <w:tr>
        <w:trPr>
          <w:cantSplit/>
          <w:tblHeader/>
        </w:trPr>
        <w:tc>
          <w:tcPr>
            <w:tcW w:type="dxa" w:w="1802"/>
          </w:tcPr>
          <w:p>
            <w:pPr>
              <w:keepNext/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層次</w:t>
            </w:r>
          </w:p>
        </w:tc>
        <w:tc>
          <w:tcPr>
            <w:tcW w:type="dxa" w:w="865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/>
                <w:sz w:val="24"/>
                <w:szCs w:val="24"/>
              </w:rPr>
              <w:t>可觀察表現</w:t>
            </w:r>
          </w:p>
        </w:tc>
      </w:tr>
      <w:tr>
        <w:trPr>
          <w:cantSplit/>
        </w:trPr>
        <w:tc>
          <w:tcPr>
            <w:tcW w:type="dxa" w:w="180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開胃菜</w:t>
            </w:r>
          </w:p>
        </w:tc>
        <w:tc>
          <w:tcPr>
            <w:tcW w:type="dxa" w:w="865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能指出一項支持證據與一項限制。</w:t>
            </w:r>
          </w:p>
        </w:tc>
      </w:tr>
      <w:tr>
        <w:trPr>
          <w:cantSplit/>
        </w:trPr>
        <w:tc>
          <w:tcPr>
            <w:tcW w:type="dxa" w:w="180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主菜</w:t>
            </w:r>
          </w:p>
        </w:tc>
        <w:tc>
          <w:tcPr>
            <w:tcW w:type="dxa" w:w="865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能用正反證據形成判斷，寫出不誤導的標籤。</w:t>
            </w:r>
          </w:p>
        </w:tc>
      </w:tr>
      <w:tr>
        <w:trPr>
          <w:cantSplit/>
        </w:trPr>
        <w:tc>
          <w:tcPr>
            <w:tcW w:type="dxa" w:w="180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加菜</w:t>
            </w:r>
          </w:p>
        </w:tc>
        <w:tc>
          <w:tcPr>
            <w:tcW w:type="dxa" w:w="8652"/>
          </w:tcPr>
          <w:p>
            <w:pPr>
              <w:spacing w:after="0"/>
            </w:pPr>
            <w:r>
              <w:rPr>
                <w:rFonts w:ascii="新細明體" w:hAnsi="新細明體" w:eastAsia="新細明體" w:cs="新細明體"/>
                <w:b w:val="0"/>
                <w:sz w:val="24"/>
                <w:szCs w:val="24"/>
              </w:rPr>
              <w:t>能提出環保產品判準，並在聽見反例後修正、補充條件或有證據地保留原判斷。</w:t>
            </w:r>
          </w:p>
        </w:tc>
      </w:tr>
    </w:tbl>
    <w:p/>
    <w:p>
      <w:r>
        <w:rPr>
          <w:rFonts w:ascii="新細明體" w:hAnsi="新細明體" w:eastAsia="新細明體" w:cs="新細明體"/>
          <w:sz w:val="24"/>
          <w:szCs w:val="24"/>
        </w:rPr>
        <w:br w:type="page"/>
      </w:r>
      <w:r>
        <w:rPr>
          <w:rFonts w:ascii="新細明體" w:hAnsi="新細明體" w:eastAsia="新細明體" w:cs="新細明體"/>
          <w:b/>
          <w:sz w:val="24"/>
          <w:szCs w:val="24"/>
        </w:rPr>
        <w:t>附件二 課本對照頁（翰林六上社會 p.32～33，供觀課教師對照）</w:t>
      </w:r>
    </w:p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