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C353E6" w14:textId="77777777" w:rsidR="00CD0D34" w:rsidRPr="008912DD" w:rsidRDefault="00CD0D34" w:rsidP="00CD0D34">
      <w:pPr>
        <w:pStyle w:val="a3"/>
        <w:rPr>
          <w:rFonts w:ascii="Times New Roman" w:hAnsi="Times New Roman"/>
        </w:rPr>
      </w:pPr>
      <w:r w:rsidRPr="008912DD">
        <w:rPr>
          <w:rFonts w:ascii="Times New Roman" w:hAnsi="Times New Roman"/>
        </w:rPr>
        <w:t>西醫基層醫療費用審查注意事項</w:t>
      </w:r>
      <w:r w:rsidRPr="008912DD">
        <w:rPr>
          <w:rFonts w:ascii="Times New Roman" w:hAnsi="Times New Roman"/>
        </w:rPr>
        <w:t>-</w:t>
      </w:r>
      <w:r w:rsidRPr="008912DD">
        <w:rPr>
          <w:rFonts w:ascii="Times New Roman" w:hAnsi="Times New Roman"/>
        </w:rPr>
        <w:t>麻醉科</w:t>
      </w:r>
    </w:p>
    <w:p w14:paraId="14766C8F" w14:textId="77777777" w:rsidR="00CD0D34" w:rsidRPr="008912DD" w:rsidRDefault="00CD0D34" w:rsidP="00CD0D34">
      <w:pPr>
        <w:snapToGrid w:val="0"/>
        <w:spacing w:line="600" w:lineRule="exact"/>
        <w:ind w:left="1134" w:hanging="654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一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麻醉中</w:t>
      </w: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局部麻醉除外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使用動脈血氧飽和監視器</w:t>
      </w:r>
      <w:r w:rsidRPr="008912DD">
        <w:rPr>
          <w:rFonts w:ascii="Times New Roman" w:eastAsia="標楷體" w:hAnsi="Times New Roman"/>
          <w:kern w:val="3"/>
          <w:sz w:val="28"/>
        </w:rPr>
        <w:t>(Pulse Oximeter)(57017C)</w:t>
      </w:r>
      <w:r w:rsidRPr="008912DD">
        <w:rPr>
          <w:rFonts w:ascii="Times New Roman" w:eastAsia="標楷體" w:hAnsi="Times New Roman"/>
          <w:kern w:val="3"/>
          <w:sz w:val="28"/>
        </w:rPr>
        <w:t>，每一病例給付一次。</w:t>
      </w:r>
      <w:r w:rsidRPr="008912DD">
        <w:rPr>
          <w:rFonts w:ascii="Times New Roman" w:eastAsia="標楷體" w:hAnsi="Times New Roman"/>
          <w:kern w:val="3"/>
          <w:sz w:val="28"/>
        </w:rPr>
        <w:t>(109/5/1)</w:t>
      </w:r>
    </w:p>
    <w:p w14:paraId="1E2F60CD" w14:textId="77777777" w:rsidR="00CD0D34" w:rsidRPr="008912DD" w:rsidRDefault="00CD0D34" w:rsidP="00CD0D34">
      <w:pPr>
        <w:snapToGrid w:val="0"/>
        <w:spacing w:line="600" w:lineRule="exact"/>
        <w:ind w:left="1040" w:hanging="56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二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病患如無法施行區域麻醉而改用全身麻醉者應於申報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醫療費用時檢附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相關病歷資料，並宜請麻醉審查醫</w:t>
      </w:r>
      <w:r w:rsidRPr="008912DD">
        <w:rPr>
          <w:rFonts w:ascii="Times New Roman" w:eastAsia="標楷體" w:hAnsi="Times New Roman"/>
          <w:sz w:val="28"/>
          <w:szCs w:val="28"/>
        </w:rPr>
        <w:t>藥專家</w:t>
      </w:r>
      <w:r w:rsidRPr="008912DD">
        <w:rPr>
          <w:rFonts w:ascii="Times New Roman" w:eastAsia="標楷體" w:hAnsi="Times New Roman"/>
          <w:kern w:val="3"/>
          <w:sz w:val="28"/>
        </w:rPr>
        <w:t>依專業認定是否合理。</w:t>
      </w:r>
      <w:r w:rsidRPr="008912DD">
        <w:rPr>
          <w:rFonts w:ascii="Times New Roman" w:eastAsia="標楷體" w:hAnsi="Times New Roman"/>
          <w:kern w:val="3"/>
          <w:sz w:val="28"/>
        </w:rPr>
        <w:t>(102/3/1)</w:t>
      </w:r>
    </w:p>
    <w:p w14:paraId="1AA14A74" w14:textId="77777777" w:rsidR="00CD0D34" w:rsidRPr="008912DD" w:rsidRDefault="00CD0D34" w:rsidP="00CD0D34">
      <w:pPr>
        <w:snapToGrid w:val="0"/>
        <w:spacing w:line="600" w:lineRule="exact"/>
        <w:ind w:left="1040" w:hanging="56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三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病人因病情改變，致已實施麻醉後無法繼續施行手術時，應於病歷上詳述原因，審查醫</w:t>
      </w:r>
      <w:r w:rsidRPr="008912DD">
        <w:rPr>
          <w:rFonts w:ascii="Times New Roman" w:eastAsia="標楷體" w:hAnsi="Times New Roman"/>
          <w:sz w:val="28"/>
          <w:szCs w:val="28"/>
        </w:rPr>
        <w:t>藥專家</w:t>
      </w:r>
      <w:r w:rsidRPr="008912DD">
        <w:rPr>
          <w:rFonts w:ascii="Times New Roman" w:eastAsia="標楷體" w:hAnsi="Times New Roman"/>
          <w:kern w:val="3"/>
          <w:sz w:val="28"/>
        </w:rPr>
        <w:t>得按前述資料核實給付。</w:t>
      </w:r>
      <w:r w:rsidRPr="008912DD">
        <w:rPr>
          <w:rFonts w:ascii="Times New Roman" w:eastAsia="標楷體" w:hAnsi="Times New Roman"/>
          <w:kern w:val="3"/>
          <w:sz w:val="28"/>
        </w:rPr>
        <w:t>(102/3/1)</w:t>
      </w:r>
    </w:p>
    <w:p w14:paraId="38B1FD89" w14:textId="77777777" w:rsidR="00CD0D34" w:rsidRPr="008912DD" w:rsidRDefault="00CD0D34" w:rsidP="00CD0D34">
      <w:pPr>
        <w:snapToGrid w:val="0"/>
        <w:spacing w:line="600" w:lineRule="exact"/>
        <w:ind w:left="1040" w:hanging="56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四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因外科併發症而實施麻醉者，按實際麻醉狀況，核實給付。</w:t>
      </w:r>
    </w:p>
    <w:p w14:paraId="1F584FDB" w14:textId="77777777" w:rsidR="00CD0D34" w:rsidRPr="008912DD" w:rsidRDefault="00CD0D34" w:rsidP="00CD0D34">
      <w:pPr>
        <w:snapToGrid w:val="0"/>
        <w:spacing w:line="600" w:lineRule="exact"/>
        <w:ind w:left="1040" w:hanging="56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五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麻醉中使用侵入性監視方法，應視麻醉危險性而定，費用是否刪除宜由審查醫</w:t>
      </w:r>
      <w:r w:rsidRPr="008912DD">
        <w:rPr>
          <w:rFonts w:ascii="Times New Roman" w:eastAsia="標楷體" w:hAnsi="Times New Roman"/>
          <w:sz w:val="28"/>
          <w:szCs w:val="28"/>
        </w:rPr>
        <w:t>藥專家</w:t>
      </w:r>
      <w:r w:rsidRPr="008912DD">
        <w:rPr>
          <w:rFonts w:ascii="Times New Roman" w:eastAsia="標楷體" w:hAnsi="Times New Roman"/>
          <w:kern w:val="3"/>
          <w:sz w:val="28"/>
        </w:rPr>
        <w:t>依專業認定。</w:t>
      </w:r>
      <w:r w:rsidRPr="008912DD">
        <w:rPr>
          <w:rFonts w:ascii="Times New Roman" w:eastAsia="標楷體" w:hAnsi="Times New Roman"/>
          <w:kern w:val="3"/>
          <w:sz w:val="28"/>
        </w:rPr>
        <w:t>(102/3/1)</w:t>
      </w:r>
    </w:p>
    <w:p w14:paraId="19FC4B4B" w14:textId="77777777" w:rsidR="00CD0D34" w:rsidRPr="008912DD" w:rsidRDefault="00CD0D34" w:rsidP="00CD0D34">
      <w:pPr>
        <w:snapToGrid w:val="0"/>
        <w:spacing w:line="600" w:lineRule="exact"/>
        <w:ind w:left="1040" w:hanging="56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六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列報麻醉恢復照護費</w:t>
      </w:r>
      <w:r w:rsidRPr="008912DD">
        <w:rPr>
          <w:rFonts w:ascii="Times New Roman" w:eastAsia="標楷體" w:hAnsi="Times New Roman"/>
          <w:kern w:val="3"/>
          <w:sz w:val="28"/>
        </w:rPr>
        <w:t>(96025B)</w:t>
      </w:r>
      <w:r w:rsidRPr="008912DD">
        <w:rPr>
          <w:rFonts w:ascii="Times New Roman" w:eastAsia="標楷體" w:hAnsi="Times New Roman"/>
          <w:kern w:val="3"/>
          <w:sz w:val="28"/>
        </w:rPr>
        <w:t>、麻醉前評估</w:t>
      </w:r>
      <w:r w:rsidRPr="008912DD">
        <w:rPr>
          <w:rFonts w:ascii="Times New Roman" w:eastAsia="標楷體" w:hAnsi="Times New Roman"/>
          <w:kern w:val="3"/>
          <w:sz w:val="28"/>
        </w:rPr>
        <w:t>(96026B)</w:t>
      </w:r>
      <w:r w:rsidRPr="008912DD">
        <w:rPr>
          <w:rFonts w:ascii="Times New Roman" w:eastAsia="標楷體" w:hAnsi="Times New Roman"/>
          <w:kern w:val="3"/>
          <w:sz w:val="28"/>
        </w:rPr>
        <w:t>項目之醫療院所，除須有麻醉恢復室之設備，且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限行臂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神經叢阻斷術、脊椎麻醉、硬脊膜外麻醉及全身麻醉之住院患者，並須附麻醉紀錄及麻醉專科醫師簽章。</w:t>
      </w:r>
    </w:p>
    <w:p w14:paraId="7EE141B3" w14:textId="77777777" w:rsidR="00CD0D34" w:rsidRPr="008912DD" w:rsidRDefault="00CD0D34" w:rsidP="00CD0D34">
      <w:pPr>
        <w:snapToGrid w:val="0"/>
        <w:spacing w:line="600" w:lineRule="exact"/>
        <w:ind w:left="1040" w:hanging="56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七</w:t>
      </w:r>
      <w:r w:rsidRPr="008912DD">
        <w:rPr>
          <w:rFonts w:ascii="Times New Roman" w:eastAsia="標楷體" w:hAnsi="Times New Roman"/>
          <w:kern w:val="3"/>
          <w:sz w:val="28"/>
        </w:rPr>
        <w:t>)96003C</w:t>
      </w:r>
      <w:r w:rsidRPr="008912DD">
        <w:rPr>
          <w:rFonts w:ascii="Times New Roman" w:eastAsia="標楷體" w:hAnsi="Times New Roman"/>
          <w:kern w:val="3"/>
          <w:sz w:val="28"/>
        </w:rPr>
        <w:t>朦朧麻醉之定義為：投與藥劑提供手術病人鎮靜作用。</w:t>
      </w: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中央健康保險局九十年二月二十七日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健保審字第九</w:t>
      </w:r>
      <w:r w:rsidRPr="008912DD">
        <w:rPr>
          <w:rFonts w:ascii="Times New Roman" w:eastAsia="標楷體" w:hAnsi="Times New Roman"/>
          <w:kern w:val="3"/>
          <w:sz w:val="28"/>
        </w:rPr>
        <w:t>○○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○</w:t>
      </w:r>
      <w:r w:rsidRPr="008912DD">
        <w:rPr>
          <w:rFonts w:ascii="Times New Roman" w:eastAsia="標楷體" w:hAnsi="Times New Roman"/>
          <w:kern w:val="3"/>
          <w:sz w:val="28"/>
        </w:rPr>
        <w:t>六一二七號函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</w:p>
    <w:p w14:paraId="22A27ED8" w14:textId="77777777" w:rsidR="00CD0D34" w:rsidRPr="008912DD" w:rsidRDefault="00CD0D34" w:rsidP="00CD0D34">
      <w:pPr>
        <w:snapToGrid w:val="0"/>
        <w:spacing w:line="600" w:lineRule="exact"/>
        <w:ind w:left="1040" w:hanging="56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八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靜脈或肌肉麻醉</w:t>
      </w:r>
      <w:r w:rsidRPr="008912DD">
        <w:rPr>
          <w:rFonts w:ascii="Times New Roman" w:eastAsia="標楷體" w:hAnsi="Times New Roman"/>
          <w:kern w:val="3"/>
          <w:sz w:val="28"/>
        </w:rPr>
        <w:t>(IV</w:t>
      </w:r>
      <w:r w:rsidRPr="008912DD">
        <w:rPr>
          <w:rFonts w:ascii="Times New Roman" w:eastAsia="標楷體" w:hAnsi="Times New Roman"/>
          <w:kern w:val="3"/>
          <w:sz w:val="28"/>
        </w:rPr>
        <w:t>或</w:t>
      </w:r>
      <w:r w:rsidRPr="008912DD">
        <w:rPr>
          <w:rFonts w:ascii="Times New Roman" w:eastAsia="標楷體" w:hAnsi="Times New Roman"/>
          <w:kern w:val="3"/>
          <w:sz w:val="28"/>
        </w:rPr>
        <w:t>IM anesthesia)(96004C)</w:t>
      </w:r>
      <w:r w:rsidRPr="008912DD">
        <w:rPr>
          <w:rFonts w:ascii="Times New Roman" w:eastAsia="標楷體" w:hAnsi="Times New Roman"/>
          <w:kern w:val="3"/>
          <w:sz w:val="28"/>
        </w:rPr>
        <w:t>視為全身麻醉。</w:t>
      </w:r>
    </w:p>
    <w:p w14:paraId="4EE8E009" w14:textId="77777777" w:rsidR="00CD0D34" w:rsidRPr="008912DD" w:rsidRDefault="00CD0D34" w:rsidP="00CD0D34">
      <w:pPr>
        <w:snapToGrid w:val="0"/>
        <w:spacing w:line="600" w:lineRule="exact"/>
        <w:ind w:left="1040" w:hanging="56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九</w:t>
      </w:r>
      <w:r w:rsidRPr="008912DD">
        <w:rPr>
          <w:rFonts w:ascii="Times New Roman" w:eastAsia="標楷體" w:hAnsi="Times New Roman"/>
          <w:kern w:val="3"/>
          <w:sz w:val="28"/>
        </w:rPr>
        <w:t>)96004C</w:t>
      </w:r>
      <w:r w:rsidRPr="008912DD">
        <w:rPr>
          <w:rFonts w:ascii="Times New Roman" w:eastAsia="標楷體" w:hAnsi="Times New Roman"/>
          <w:kern w:val="3"/>
          <w:sz w:val="28"/>
        </w:rPr>
        <w:t>靜脈或肌肉麻醉之界定：執行內容須包括全身麻醉誘導藥物【</w:t>
      </w:r>
      <w:r w:rsidRPr="008912DD">
        <w:rPr>
          <w:rFonts w:ascii="Times New Roman" w:eastAsia="標楷體" w:hAnsi="Times New Roman"/>
          <w:kern w:val="3"/>
          <w:sz w:val="28"/>
        </w:rPr>
        <w:t>short induction barbiturates(</w:t>
      </w:r>
      <w:r w:rsidRPr="008912DD">
        <w:rPr>
          <w:rFonts w:ascii="Times New Roman" w:eastAsia="標楷體" w:hAnsi="Times New Roman"/>
          <w:kern w:val="3"/>
          <w:sz w:val="28"/>
        </w:rPr>
        <w:t>如</w:t>
      </w:r>
      <w:r w:rsidRPr="008912DD">
        <w:rPr>
          <w:rFonts w:ascii="Times New Roman" w:eastAsia="標楷體" w:hAnsi="Times New Roman"/>
          <w:kern w:val="3"/>
          <w:sz w:val="28"/>
        </w:rPr>
        <w:t>thiopental</w:t>
      </w:r>
      <w:r w:rsidRPr="008912DD">
        <w:rPr>
          <w:rFonts w:ascii="Times New Roman" w:eastAsia="標楷體" w:hAnsi="Times New Roman"/>
          <w:kern w:val="3"/>
          <w:sz w:val="28"/>
        </w:rPr>
        <w:t>、</w:t>
      </w:r>
      <w:r w:rsidRPr="008912DD">
        <w:rPr>
          <w:rFonts w:ascii="Times New Roman" w:eastAsia="標楷體" w:hAnsi="Times New Roman"/>
          <w:kern w:val="3"/>
          <w:sz w:val="28"/>
        </w:rPr>
        <w:t>methohexital)</w:t>
      </w:r>
      <w:r w:rsidRPr="008912DD">
        <w:rPr>
          <w:rFonts w:ascii="Times New Roman" w:eastAsia="標楷體" w:hAnsi="Times New Roman"/>
          <w:kern w:val="3"/>
          <w:sz w:val="28"/>
        </w:rPr>
        <w:t>、</w:t>
      </w:r>
      <w:r w:rsidRPr="008912DD">
        <w:rPr>
          <w:rFonts w:ascii="Times New Roman" w:eastAsia="標楷體" w:hAnsi="Times New Roman"/>
          <w:kern w:val="3"/>
          <w:sz w:val="28"/>
        </w:rPr>
        <w:t>Etomidate</w:t>
      </w:r>
      <w:r w:rsidRPr="008912DD">
        <w:rPr>
          <w:rFonts w:ascii="Times New Roman" w:eastAsia="標楷體" w:hAnsi="Times New Roman"/>
          <w:kern w:val="3"/>
          <w:sz w:val="28"/>
        </w:rPr>
        <w:t>、</w:t>
      </w:r>
      <w:r w:rsidRPr="008912DD">
        <w:rPr>
          <w:rFonts w:ascii="Times New Roman" w:eastAsia="標楷體" w:hAnsi="Times New Roman"/>
          <w:kern w:val="3"/>
          <w:sz w:val="28"/>
        </w:rPr>
        <w:t>Ketamine</w:t>
      </w:r>
      <w:r w:rsidRPr="008912DD">
        <w:rPr>
          <w:rFonts w:ascii="Times New Roman" w:eastAsia="標楷體" w:hAnsi="Times New Roman"/>
          <w:kern w:val="3"/>
          <w:sz w:val="28"/>
        </w:rPr>
        <w:t>、</w:t>
      </w:r>
      <w:r w:rsidRPr="008912DD">
        <w:rPr>
          <w:rFonts w:ascii="Times New Roman" w:eastAsia="標楷體" w:hAnsi="Times New Roman"/>
          <w:kern w:val="3"/>
          <w:sz w:val="28"/>
        </w:rPr>
        <w:t>Propofol</w:t>
      </w:r>
      <w:r w:rsidRPr="008912DD">
        <w:rPr>
          <w:rFonts w:ascii="Times New Roman" w:eastAsia="標楷體" w:hAnsi="Times New Roman"/>
          <w:kern w:val="3"/>
          <w:sz w:val="28"/>
        </w:rPr>
        <w:t>等】及完整紀錄</w:t>
      </w: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包括麻醉前評估、麻醉紀錄、麻醉恢復紀錄</w:t>
      </w:r>
      <w:r w:rsidRPr="008912DD">
        <w:rPr>
          <w:rFonts w:ascii="Times New Roman" w:eastAsia="標楷體" w:hAnsi="Times New Roman"/>
          <w:kern w:val="3"/>
          <w:sz w:val="28"/>
        </w:rPr>
        <w:t>)(</w:t>
      </w:r>
      <w:r w:rsidRPr="008912DD">
        <w:rPr>
          <w:rFonts w:ascii="Times New Roman" w:eastAsia="標楷體" w:hAnsi="Times New Roman"/>
          <w:kern w:val="3"/>
          <w:sz w:val="28"/>
        </w:rPr>
        <w:t>中央健康保險局九十年二月二十七日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健保審字第</w:t>
      </w:r>
      <w:r w:rsidRPr="008912DD">
        <w:rPr>
          <w:rFonts w:ascii="Times New Roman" w:eastAsia="標楷體" w:hAnsi="Times New Roman"/>
          <w:kern w:val="3"/>
          <w:sz w:val="28"/>
        </w:rPr>
        <w:t>90006127</w:t>
      </w:r>
      <w:r w:rsidRPr="008912DD">
        <w:rPr>
          <w:rFonts w:ascii="Times New Roman" w:eastAsia="標楷體" w:hAnsi="Times New Roman"/>
          <w:kern w:val="3"/>
          <w:sz w:val="28"/>
        </w:rPr>
        <w:t>號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函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</w:p>
    <w:p w14:paraId="56E7A29E" w14:textId="77777777" w:rsidR="00CD0D34" w:rsidRPr="008912DD" w:rsidRDefault="00CD0D34" w:rsidP="00CD0D34">
      <w:pPr>
        <w:snapToGrid w:val="0"/>
        <w:spacing w:line="600" w:lineRule="exact"/>
        <w:ind w:left="1040" w:hanging="56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lastRenderedPageBreak/>
        <w:t>(</w:t>
      </w:r>
      <w:r w:rsidRPr="008912DD">
        <w:rPr>
          <w:rFonts w:ascii="Times New Roman" w:eastAsia="標楷體" w:hAnsi="Times New Roman"/>
          <w:kern w:val="3"/>
          <w:sz w:val="28"/>
        </w:rPr>
        <w:t>十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凡申報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全身麻醉均須檢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附完整紀錄包括麻醉前評估、麻醉紀錄及麻醉恢復紀錄，前兩項之基本記載內容及參考格式</w:t>
      </w: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詳附表十七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。</w:t>
      </w:r>
    </w:p>
    <w:p w14:paraId="0F567014" w14:textId="77777777" w:rsidR="00CD0D34" w:rsidRPr="008912DD" w:rsidRDefault="00CD0D34" w:rsidP="00CD0D34">
      <w:pPr>
        <w:snapToGrid w:val="0"/>
        <w:spacing w:line="600" w:lineRule="exact"/>
        <w:ind w:left="1040" w:hanging="56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十一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有關麻醉申復案件，應由麻醉審查醫</w:t>
      </w:r>
      <w:r w:rsidRPr="008912DD">
        <w:rPr>
          <w:rFonts w:ascii="Times New Roman" w:eastAsia="標楷體" w:hAnsi="Times New Roman"/>
          <w:sz w:val="28"/>
          <w:szCs w:val="28"/>
        </w:rPr>
        <w:t>藥專家</w:t>
      </w:r>
      <w:r w:rsidRPr="008912DD">
        <w:rPr>
          <w:rFonts w:ascii="Times New Roman" w:eastAsia="標楷體" w:hAnsi="Times New Roman"/>
          <w:kern w:val="3"/>
          <w:sz w:val="28"/>
        </w:rPr>
        <w:t>審查。</w:t>
      </w:r>
      <w:r w:rsidRPr="008912DD">
        <w:rPr>
          <w:rFonts w:ascii="Times New Roman" w:eastAsia="標楷體" w:hAnsi="Times New Roman"/>
          <w:kern w:val="3"/>
          <w:sz w:val="28"/>
        </w:rPr>
        <w:t>(102/3/1)</w:t>
      </w:r>
    </w:p>
    <w:p w14:paraId="0216593B" w14:textId="77777777" w:rsidR="00CD0D34" w:rsidRPr="008912DD" w:rsidRDefault="00CD0D34" w:rsidP="00CD0D34">
      <w:pPr>
        <w:snapToGrid w:val="0"/>
        <w:spacing w:line="600" w:lineRule="exact"/>
        <w:ind w:left="1040" w:hanging="560"/>
        <w:jc w:val="both"/>
        <w:rPr>
          <w:rFonts w:ascii="Times New Roman" w:eastAsia="標楷體" w:hAnsi="Times New Roman"/>
          <w:kern w:val="3"/>
          <w:sz w:val="28"/>
        </w:rPr>
        <w:sectPr w:rsidR="00CD0D34" w:rsidRPr="008912DD" w:rsidSect="00CD0D34">
          <w:pgSz w:w="11906" w:h="16838"/>
          <w:pgMar w:top="1418" w:right="1304" w:bottom="1418" w:left="1320" w:header="720" w:footer="720" w:gutter="0"/>
          <w:cols w:space="720"/>
          <w:docGrid w:type="lines" w:linePitch="405"/>
        </w:sect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十二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凡申報</w:t>
      </w:r>
      <w:r w:rsidRPr="008912DD">
        <w:rPr>
          <w:rFonts w:ascii="Times New Roman" w:eastAsia="標楷體" w:hAnsi="Times New Roman"/>
          <w:kern w:val="3"/>
          <w:sz w:val="28"/>
        </w:rPr>
        <w:t>96011C</w:t>
      </w:r>
      <w:r w:rsidRPr="008912DD">
        <w:rPr>
          <w:rFonts w:ascii="Times New Roman" w:eastAsia="標楷體" w:hAnsi="Times New Roman"/>
          <w:kern w:val="3"/>
          <w:sz w:val="28"/>
        </w:rPr>
        <w:t>神經叢阻斷術，必須加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註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神經叢之解剖名稱。</w:t>
      </w:r>
    </w:p>
    <w:p w14:paraId="19F6ADDA" w14:textId="77777777" w:rsidR="00933B94" w:rsidRPr="00CD0D34" w:rsidRDefault="00933B94"/>
    <w:sectPr w:rsidR="00933B94" w:rsidRPr="00CD0D3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D34"/>
    <w:rsid w:val="000C66CD"/>
    <w:rsid w:val="004A1326"/>
    <w:rsid w:val="007860FB"/>
    <w:rsid w:val="00933B94"/>
    <w:rsid w:val="00CD0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EE8C4"/>
  <w15:chartTrackingRefBased/>
  <w15:docId w15:val="{24F1F98D-C3A4-4356-894F-FC3D9B3BD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D0D34"/>
    <w:pPr>
      <w:widowControl w:val="0"/>
      <w:suppressAutoHyphens/>
      <w:autoSpaceDN w:val="0"/>
      <w:spacing w:line="360" w:lineRule="atLeast"/>
      <w:textAlignment w:val="baseline"/>
    </w:pPr>
    <w:rPr>
      <w:rFonts w:ascii="細明體" w:eastAsia="細明體" w:hAnsi="細明體" w:cs="Times New Roman"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第三層"/>
    <w:basedOn w:val="a"/>
    <w:link w:val="a4"/>
    <w:qFormat/>
    <w:rsid w:val="00CD0D34"/>
    <w:pPr>
      <w:snapToGrid w:val="0"/>
      <w:spacing w:line="600" w:lineRule="exact"/>
      <w:jc w:val="both"/>
    </w:pPr>
    <w:rPr>
      <w:rFonts w:ascii="標楷體" w:eastAsia="標楷體" w:hAnsi="標楷體"/>
      <w:b/>
      <w:sz w:val="28"/>
      <w:szCs w:val="28"/>
    </w:rPr>
  </w:style>
  <w:style w:type="character" w:customStyle="1" w:styleId="a4">
    <w:name w:val="第三層 字元"/>
    <w:basedOn w:val="a0"/>
    <w:link w:val="a3"/>
    <w:rsid w:val="00CD0D34"/>
    <w:rPr>
      <w:rFonts w:ascii="標楷體" w:eastAsia="標楷體" w:hAnsi="標楷體" w:cs="Times New Roman"/>
      <w:b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yungfeng hsu</dc:creator>
  <cp:keywords/>
  <dc:description/>
  <cp:lastModifiedBy>yungfeng hsu</cp:lastModifiedBy>
  <cp:revision>1</cp:revision>
  <dcterms:created xsi:type="dcterms:W3CDTF">2024-12-20T06:42:00Z</dcterms:created>
  <dcterms:modified xsi:type="dcterms:W3CDTF">2024-12-20T06:43:00Z</dcterms:modified>
</cp:coreProperties>
</file>