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autoSpaceDE w:val="false"/>
        <w:spacing w:lineRule="auto" w:line="240"/>
        <w:jc w:val="center"/>
        <w:outlineLvl w:val="0"/>
        <w:rPr/>
      </w:pPr>
      <w:r>
        <w:rPr>
          <w:color w:val="000000"/>
          <w:sz w:val="48"/>
        </w:rPr>
        <w:t>全民健康保險醫療服務給付項目及支付標準</w:t>
      </w:r>
    </w:p>
    <w:p>
      <w:pPr>
        <w:pStyle w:val="Normal"/>
        <w:autoSpaceDE w:val="false"/>
        <w:spacing w:lineRule="auto" w:line="240"/>
        <w:rPr>
          <w:color w:val="000000"/>
          <w:sz w:val="48"/>
        </w:rPr>
      </w:pPr>
      <w:r>
        <w:rPr>
          <w:color w:val="000000"/>
          <w:sz w:val="48"/>
        </w:rPr>
      </w:r>
    </w:p>
    <w:p>
      <w:pPr>
        <w:pStyle w:val="Style17"/>
        <w:numPr>
          <w:ilvl w:val="0"/>
          <w:numId w:val="0"/>
        </w:numPr>
        <w:ind w:hanging="482" w:left="482" w:right="0"/>
        <w:rPr/>
      </w:pPr>
      <w:r>
        <w:rPr/>
        <w:t>第一部</w:t>
      </w:r>
      <w:r>
        <w:rPr>
          <w:rFonts w:eastAsia="Times New Roman"/>
        </w:rPr>
        <w:t xml:space="preserve"> </w:t>
      </w:r>
      <w:r>
        <w:rPr/>
        <w:t>總則</w:t>
      </w:r>
    </w:p>
    <w:p>
      <w:pPr>
        <w:pStyle w:val="Normal"/>
        <w:autoSpaceDE w:val="false"/>
        <w:spacing w:lineRule="auto" w:line="240"/>
        <w:rPr>
          <w:color w:val="000000"/>
        </w:rPr>
      </w:pPr>
      <w:r>
        <w:rPr>
          <w:color w:val="000000"/>
        </w:rPr>
      </w:r>
    </w:p>
    <w:p>
      <w:pPr>
        <w:pStyle w:val="Normal"/>
        <w:autoSpaceDE w:val="false"/>
        <w:snapToGrid w:val="false"/>
        <w:spacing w:lineRule="exact" w:line="360" w:before="120" w:after="0"/>
        <w:ind w:hanging="600" w:left="600" w:right="0"/>
        <w:jc w:val="both"/>
        <w:rPr>
          <w:color w:val="000000"/>
          <w:sz w:val="32"/>
          <w:szCs w:val="32"/>
        </w:rPr>
      </w:pPr>
      <w:r>
        <w:rPr>
          <w:color w:val="000000"/>
          <w:sz w:val="32"/>
        </w:rPr>
        <w:t>一、本標準依全民健康保險法</w:t>
      </w:r>
      <w:r>
        <w:rPr>
          <w:color w:val="000000"/>
          <w:sz w:val="32"/>
        </w:rPr>
        <w:t>(</w:t>
      </w:r>
      <w:r>
        <w:rPr>
          <w:color w:val="000000"/>
          <w:sz w:val="32"/>
        </w:rPr>
        <w:t>以下稱本法</w:t>
      </w:r>
      <w:r>
        <w:rPr>
          <w:color w:val="000000"/>
          <w:sz w:val="32"/>
        </w:rPr>
        <w:t>)</w:t>
      </w:r>
      <w:r>
        <w:rPr>
          <w:color w:val="000000"/>
          <w:sz w:val="32"/>
        </w:rPr>
        <w:t>第四十一條第一項規定訂</w:t>
      </w:r>
      <w:r>
        <w:rPr>
          <w:color w:val="000000"/>
          <w:sz w:val="32"/>
          <w:szCs w:val="32"/>
        </w:rPr>
        <w:t>定之。</w:t>
      </w:r>
    </w:p>
    <w:p>
      <w:pPr>
        <w:pStyle w:val="Normal"/>
        <w:autoSpaceDE w:val="false"/>
        <w:snapToGrid w:val="false"/>
        <w:spacing w:lineRule="exact" w:line="360" w:before="120" w:after="0"/>
        <w:ind w:hanging="600" w:left="600" w:right="0"/>
        <w:jc w:val="both"/>
        <w:rPr>
          <w:color w:val="000000"/>
          <w:sz w:val="32"/>
          <w:szCs w:val="32"/>
        </w:rPr>
      </w:pPr>
      <w:r>
        <w:rPr>
          <w:color w:val="000000"/>
          <w:sz w:val="32"/>
          <w:szCs w:val="32"/>
        </w:rPr>
        <w:t>二、各保險醫事服務機構適用本標準所列各診療項目，醫學中心、區域醫院及地區醫院除第一部第四點外，其餘依全民健康保險法施行細則第五十九條規定辦理簽訂合約之特約類別及支付適用表別，該條文未明列之類別如下：</w:t>
      </w:r>
    </w:p>
    <w:p>
      <w:pPr>
        <w:pStyle w:val="Normal"/>
        <w:autoSpaceDE w:val="false"/>
        <w:snapToGrid w:val="false"/>
        <w:spacing w:lineRule="exact" w:line="360" w:before="120" w:after="0"/>
        <w:ind w:hanging="567" w:left="993" w:right="0"/>
        <w:jc w:val="both"/>
        <w:rPr>
          <w:color w:val="000000"/>
          <w:sz w:val="32"/>
          <w:szCs w:val="32"/>
        </w:rPr>
      </w:pPr>
      <w:r>
        <w:rPr>
          <w:color w:val="000000"/>
          <w:sz w:val="32"/>
          <w:szCs w:val="32"/>
        </w:rPr>
        <w:t>(</w:t>
      </w:r>
      <w:r>
        <w:rPr>
          <w:color w:val="000000"/>
          <w:sz w:val="32"/>
          <w:szCs w:val="32"/>
        </w:rPr>
        <w:t>一</w:t>
      </w:r>
      <w:r>
        <w:rPr>
          <w:color w:val="000000"/>
          <w:sz w:val="32"/>
          <w:szCs w:val="32"/>
        </w:rPr>
        <w:t>)</w:t>
      </w:r>
      <w:r>
        <w:rPr>
          <w:color w:val="000000"/>
          <w:sz w:val="32"/>
          <w:szCs w:val="32"/>
        </w:rPr>
        <w:t>基層醫療院所：指醫學中心、區域醫院及地區醫院以外之醫療機構（以下稱基層院所）。</w:t>
      </w:r>
    </w:p>
    <w:p>
      <w:pPr>
        <w:pStyle w:val="Normal"/>
        <w:autoSpaceDE w:val="false"/>
        <w:snapToGrid w:val="false"/>
        <w:spacing w:lineRule="exact" w:line="360" w:before="120" w:after="0"/>
        <w:ind w:hanging="567" w:left="993" w:right="0"/>
        <w:jc w:val="both"/>
        <w:rPr>
          <w:color w:val="000000"/>
          <w:sz w:val="32"/>
          <w:szCs w:val="32"/>
        </w:rPr>
      </w:pPr>
      <w:r>
        <w:rPr>
          <w:color w:val="000000"/>
          <w:sz w:val="32"/>
          <w:szCs w:val="32"/>
        </w:rPr>
        <w:t>(</w:t>
      </w:r>
      <w:r>
        <w:rPr>
          <w:color w:val="000000"/>
          <w:sz w:val="32"/>
          <w:szCs w:val="32"/>
        </w:rPr>
        <w:t>二</w:t>
      </w:r>
      <w:r>
        <w:rPr>
          <w:color w:val="000000"/>
          <w:sz w:val="32"/>
          <w:szCs w:val="32"/>
        </w:rPr>
        <w:t>)</w:t>
      </w:r>
      <w:r>
        <w:rPr>
          <w:color w:val="000000"/>
          <w:sz w:val="32"/>
          <w:szCs w:val="32"/>
        </w:rPr>
        <w:t>特約藥局。</w:t>
      </w:r>
    </w:p>
    <w:p>
      <w:pPr>
        <w:pStyle w:val="Normal"/>
        <w:autoSpaceDE w:val="false"/>
        <w:snapToGrid w:val="false"/>
        <w:spacing w:lineRule="exact" w:line="360" w:before="120" w:after="0"/>
        <w:ind w:hanging="600" w:left="600" w:right="0"/>
        <w:jc w:val="both"/>
        <w:rPr>
          <w:color w:val="000000"/>
          <w:sz w:val="32"/>
          <w:szCs w:val="32"/>
        </w:rPr>
      </w:pPr>
      <w:r>
        <w:rPr>
          <w:color w:val="000000"/>
          <w:sz w:val="32"/>
          <w:szCs w:val="32"/>
        </w:rPr>
        <w:t>三、經主管機關評鑑合格之各層級醫院精神科，依該院之支付適用表別點數申報；經評鑑合格之精神科專科教學醫院，依區域醫院點數申報；經評鑑合格之精神科專科醫院，依地區醫院點數申報。</w:t>
      </w:r>
    </w:p>
    <w:p>
      <w:pPr>
        <w:pStyle w:val="Style17"/>
        <w:numPr>
          <w:ilvl w:val="0"/>
          <w:numId w:val="0"/>
        </w:numPr>
        <w:spacing w:lineRule="exact" w:line="360"/>
        <w:ind w:hanging="624" w:left="624" w:right="0"/>
        <w:jc w:val="both"/>
        <w:rPr>
          <w:sz w:val="32"/>
          <w:szCs w:val="32"/>
        </w:rPr>
      </w:pPr>
      <w:r>
        <w:rPr>
          <w:sz w:val="32"/>
          <w:szCs w:val="32"/>
        </w:rPr>
        <w:t>四、依據主管機關公告之「醫院評鑑及教學醫院評鑑作業程序」規定，屬「應申請區域醫院評鑑」之地區醫院，且經評鑑結果未達區域醫院合格基準者，依下列支付方式辦理：</w:t>
      </w:r>
    </w:p>
    <w:p>
      <w:pPr>
        <w:pStyle w:val="Normal"/>
        <w:autoSpaceDE w:val="false"/>
        <w:snapToGrid w:val="false"/>
        <w:spacing w:lineRule="exact" w:line="360"/>
        <w:ind w:hanging="567" w:left="993" w:right="0"/>
        <w:jc w:val="both"/>
        <w:rPr/>
      </w:pPr>
      <w:r>
        <w:rPr>
          <w:color w:val="000000"/>
          <w:sz w:val="32"/>
          <w:szCs w:val="32"/>
        </w:rPr>
        <w:t>(</w:t>
      </w:r>
      <w:r>
        <w:rPr>
          <w:color w:val="000000"/>
          <w:sz w:val="32"/>
          <w:szCs w:val="32"/>
        </w:rPr>
        <w:t>一</w:t>
      </w:r>
      <w:r>
        <w:rPr>
          <w:color w:val="000000"/>
          <w:sz w:val="32"/>
          <w:szCs w:val="32"/>
        </w:rPr>
        <w:t>)</w:t>
      </w:r>
      <w:r>
        <w:rPr>
          <w:color w:val="000000"/>
          <w:sz w:val="32"/>
          <w:szCs w:val="32"/>
        </w:rPr>
        <w:t>自地區醫院評鑑合格之日起一年內：依地區醫院點數申報，且不得適用地區醫院加成規範及特定保障項目；如其醫院評鑑基準「適當的護病比」符合區域醫院評鑑標準者，依區域醫院點數申報。</w:t>
      </w:r>
    </w:p>
    <w:p>
      <w:pPr>
        <w:pStyle w:val="Normal"/>
        <w:autoSpaceDE w:val="false"/>
        <w:snapToGrid w:val="false"/>
        <w:spacing w:lineRule="exact" w:line="360"/>
        <w:ind w:hanging="567" w:left="993" w:right="0"/>
        <w:jc w:val="both"/>
        <w:rPr/>
      </w:pPr>
      <w:r>
        <w:rPr>
          <w:color w:val="000000"/>
          <w:sz w:val="32"/>
          <w:szCs w:val="32"/>
        </w:rPr>
        <w:t>(</w:t>
      </w:r>
      <w:r>
        <w:rPr>
          <w:color w:val="000000"/>
          <w:sz w:val="32"/>
          <w:szCs w:val="32"/>
        </w:rPr>
        <w:t>二</w:t>
      </w:r>
      <w:r>
        <w:rPr>
          <w:color w:val="000000"/>
          <w:sz w:val="32"/>
          <w:szCs w:val="32"/>
        </w:rPr>
        <w:t>)</w:t>
      </w:r>
      <w:r>
        <w:rPr>
          <w:color w:val="000000"/>
          <w:sz w:val="32"/>
          <w:szCs w:val="32"/>
        </w:rPr>
        <w:t>自地區醫院評鑑合格之日起逾一年：未達區域醫院合格基準者，依地區醫院點數申報，且不得適用地區醫院加成規範及特定保障項目。</w:t>
      </w:r>
    </w:p>
    <w:p>
      <w:pPr>
        <w:pStyle w:val="Normal"/>
        <w:autoSpaceDE w:val="false"/>
        <w:snapToGrid w:val="false"/>
        <w:spacing w:lineRule="exact" w:line="360" w:before="120" w:after="0"/>
        <w:ind w:hanging="600" w:left="600" w:right="0"/>
        <w:rPr>
          <w:color w:val="000000"/>
          <w:sz w:val="32"/>
          <w:szCs w:val="32"/>
        </w:rPr>
      </w:pPr>
      <w:r>
        <w:rPr>
          <w:color w:val="000000"/>
          <w:sz w:val="32"/>
          <w:szCs w:val="32"/>
        </w:rPr>
        <w:t>五、各保險醫事服務機構，依其專任醫師專長、設備及地區需要性，從事適用類別以外之診療項目時，得定期向保險人申請核可適用。</w:t>
      </w:r>
    </w:p>
    <w:p>
      <w:pPr>
        <w:pStyle w:val="Normal"/>
        <w:autoSpaceDE w:val="false"/>
        <w:snapToGrid w:val="false"/>
        <w:spacing w:lineRule="exact" w:line="360" w:before="120" w:after="0"/>
        <w:ind w:hanging="600" w:left="600" w:right="0"/>
        <w:rPr>
          <w:color w:val="000000"/>
          <w:sz w:val="32"/>
          <w:szCs w:val="32"/>
        </w:rPr>
      </w:pPr>
      <w:r>
        <w:rPr>
          <w:color w:val="000000"/>
          <w:sz w:val="32"/>
          <w:szCs w:val="32"/>
        </w:rPr>
        <w:t>六、各保險醫事服務機構實施本標準未列項目，應就適用之類別已列款目中，按其最近似之各該編號項目所定點數申報，但新療法須經保險人報由中央主管機關核定後實施。</w:t>
      </w:r>
    </w:p>
    <w:p>
      <w:pPr>
        <w:pStyle w:val="Normal"/>
        <w:autoSpaceDE w:val="false"/>
        <w:snapToGrid w:val="false"/>
        <w:spacing w:lineRule="exact" w:line="360" w:before="120" w:after="0"/>
        <w:ind w:hanging="600" w:left="600" w:right="0"/>
        <w:jc w:val="both"/>
        <w:rPr>
          <w:color w:val="000000"/>
          <w:sz w:val="32"/>
          <w:szCs w:val="32"/>
        </w:rPr>
      </w:pPr>
      <w:r>
        <w:rPr>
          <w:color w:val="000000"/>
          <w:sz w:val="32"/>
          <w:szCs w:val="32"/>
        </w:rPr>
        <w:t>七、保險醫事服務機構以書面申報醫療費用者，依本標準所定點數申報後，由保險人按門診每一申報案件扣留十點、住院每一申報案件扣留五十點，作為委託辦理電子資料處理之費用。</w:t>
      </w:r>
    </w:p>
    <w:p>
      <w:pPr>
        <w:pStyle w:val="Normal"/>
        <w:autoSpaceDE w:val="false"/>
        <w:snapToGrid w:val="false"/>
        <w:spacing w:lineRule="exact" w:line="360" w:before="120" w:after="0"/>
        <w:ind w:hanging="600" w:left="600" w:right="0"/>
        <w:jc w:val="both"/>
        <w:rPr>
          <w:color w:val="000000"/>
          <w:sz w:val="32"/>
          <w:szCs w:val="32"/>
        </w:rPr>
      </w:pPr>
      <w:r>
        <w:rPr>
          <w:color w:val="000000"/>
          <w:sz w:val="32"/>
          <w:szCs w:val="32"/>
        </w:rPr>
        <w:t>八、本標準各診療項目支付費用一律以點數計算，每點支付金額依據全民健康保險法第六十二條定之。</w:t>
      </w:r>
    </w:p>
    <w:p>
      <w:pPr>
        <w:pStyle w:val="Normal"/>
        <w:autoSpaceDE w:val="false"/>
        <w:snapToGrid w:val="false"/>
        <w:spacing w:lineRule="exact" w:line="360" w:before="120" w:after="0"/>
        <w:ind w:hanging="600" w:left="600" w:right="0"/>
        <w:jc w:val="both"/>
        <w:rPr>
          <w:color w:val="000000"/>
          <w:sz w:val="32"/>
          <w:szCs w:val="32"/>
        </w:rPr>
      </w:pPr>
      <w:r>
        <w:rPr>
          <w:color w:val="000000"/>
          <w:sz w:val="32"/>
          <w:szCs w:val="32"/>
        </w:rPr>
        <w:t>九、全民健康保險會協定之年度預算所定之計畫或方案，其給付項目及支付標準依本法第四十一條所定程序辦理，並依各該計畫或方案之規定給付與支付。</w:t>
      </w:r>
    </w:p>
    <w:p>
      <w:pPr>
        <w:pStyle w:val="Normal"/>
        <w:autoSpaceDE w:val="false"/>
        <w:snapToGrid w:val="false"/>
        <w:spacing w:lineRule="exact" w:line="360" w:before="120" w:after="0"/>
        <w:ind w:hanging="600" w:left="600" w:right="0"/>
        <w:jc w:val="both"/>
        <w:rPr>
          <w:color w:val="000000"/>
          <w:sz w:val="32"/>
          <w:szCs w:val="32"/>
        </w:rPr>
      </w:pPr>
      <w:r>
        <w:rPr>
          <w:color w:val="000000"/>
          <w:sz w:val="32"/>
          <w:szCs w:val="32"/>
        </w:rPr>
        <w:t>十、本標準所稱「山地離島地區」，依「全民健康保險保險對象免自行負擔費用辦法」之規定辦理。</w:t>
      </w:r>
    </w:p>
    <w:p>
      <w:pPr>
        <w:pStyle w:val="Normal"/>
        <w:autoSpaceDE w:val="false"/>
        <w:snapToGrid w:val="false"/>
        <w:spacing w:lineRule="exact" w:line="360" w:before="120" w:after="0"/>
        <w:ind w:hanging="600" w:left="600" w:right="0"/>
        <w:rPr>
          <w:color w:val="000000"/>
          <w:sz w:val="32"/>
          <w:szCs w:val="32"/>
        </w:rPr>
      </w:pPr>
      <w:r>
        <w:rPr>
          <w:color w:val="000000"/>
          <w:sz w:val="32"/>
          <w:szCs w:val="32"/>
        </w:rPr>
        <w:t>十一、事前審查：</w:t>
      </w:r>
    </w:p>
    <w:p>
      <w:pPr>
        <w:pStyle w:val="Normal"/>
        <w:autoSpaceDE w:val="false"/>
        <w:snapToGrid w:val="false"/>
        <w:spacing w:lineRule="exact" w:line="360" w:before="120" w:after="0"/>
        <w:ind w:hanging="567" w:left="1276" w:right="0"/>
        <w:jc w:val="both"/>
        <w:rPr>
          <w:color w:val="000000"/>
          <w:sz w:val="32"/>
          <w:szCs w:val="32"/>
        </w:rPr>
      </w:pPr>
      <w:r>
        <w:rPr>
          <w:color w:val="000000"/>
          <w:sz w:val="32"/>
          <w:szCs w:val="32"/>
        </w:rPr>
        <w:t>(</w:t>
      </w:r>
      <w:r>
        <w:rPr>
          <w:color w:val="000000"/>
          <w:sz w:val="32"/>
          <w:szCs w:val="32"/>
        </w:rPr>
        <w:t>一</w:t>
      </w:r>
      <w:r>
        <w:rPr>
          <w:color w:val="000000"/>
          <w:sz w:val="32"/>
          <w:szCs w:val="32"/>
        </w:rPr>
        <w:t>)</w:t>
      </w:r>
      <w:r>
        <w:rPr>
          <w:color w:val="000000"/>
          <w:sz w:val="32"/>
          <w:szCs w:val="32"/>
        </w:rPr>
        <w:t>依本法第四十二條規定，保險醫事服務機構為保險對象施行附表所列項目及各診療項目已規定應事前審查者，保險醫事服務機構應依規定申請事前審查。</w:t>
      </w:r>
    </w:p>
    <w:p>
      <w:pPr>
        <w:pStyle w:val="Normal"/>
        <w:autoSpaceDE w:val="false"/>
        <w:snapToGrid w:val="false"/>
        <w:spacing w:lineRule="exact" w:line="360" w:before="120" w:after="0"/>
        <w:ind w:hanging="567" w:left="1276" w:right="0"/>
        <w:jc w:val="both"/>
        <w:rPr>
          <w:color w:val="000000"/>
          <w:sz w:val="32"/>
          <w:szCs w:val="32"/>
        </w:rPr>
      </w:pPr>
      <w:r>
        <w:rPr>
          <w:color w:val="000000"/>
          <w:sz w:val="32"/>
          <w:szCs w:val="32"/>
        </w:rPr>
        <w:t>(</w:t>
      </w:r>
      <w:r>
        <w:rPr>
          <w:color w:val="000000"/>
          <w:sz w:val="32"/>
          <w:szCs w:val="32"/>
        </w:rPr>
        <w:t>二</w:t>
      </w:r>
      <w:r>
        <w:rPr>
          <w:color w:val="000000"/>
          <w:sz w:val="32"/>
          <w:szCs w:val="32"/>
        </w:rPr>
        <w:t>)</w:t>
      </w:r>
      <w:r>
        <w:rPr>
          <w:color w:val="000000"/>
          <w:sz w:val="32"/>
          <w:szCs w:val="32"/>
        </w:rPr>
        <w:t>保險醫事服務機構向保險人申報事前審查時，應檢附下列文件：</w:t>
      </w:r>
    </w:p>
    <w:p>
      <w:pPr>
        <w:pStyle w:val="Normal"/>
        <w:autoSpaceDE w:val="false"/>
        <w:snapToGrid w:val="false"/>
        <w:spacing w:lineRule="exact" w:line="360" w:before="120" w:after="0"/>
        <w:ind w:firstLine="570" w:left="706" w:right="0"/>
        <w:rPr>
          <w:color w:val="000000"/>
          <w:sz w:val="32"/>
          <w:szCs w:val="32"/>
        </w:rPr>
      </w:pPr>
      <w:r>
        <w:rPr>
          <w:color w:val="000000"/>
          <w:sz w:val="32"/>
          <w:szCs w:val="32"/>
        </w:rPr>
        <w:t>1.</w:t>
      </w:r>
      <w:r>
        <w:rPr>
          <w:color w:val="000000"/>
          <w:sz w:val="32"/>
          <w:szCs w:val="32"/>
        </w:rPr>
        <w:t>事前審查申報書。</w:t>
      </w:r>
    </w:p>
    <w:p>
      <w:pPr>
        <w:pStyle w:val="Normal"/>
        <w:autoSpaceDE w:val="false"/>
        <w:snapToGrid w:val="false"/>
        <w:spacing w:lineRule="exact" w:line="360" w:before="120" w:after="0"/>
        <w:ind w:firstLine="570" w:left="706" w:right="0"/>
        <w:rPr>
          <w:color w:val="000000"/>
          <w:sz w:val="32"/>
          <w:szCs w:val="32"/>
        </w:rPr>
      </w:pPr>
      <w:r>
        <w:rPr>
          <w:color w:val="000000"/>
          <w:sz w:val="32"/>
          <w:szCs w:val="32"/>
        </w:rPr>
        <w:t>2.</w:t>
      </w:r>
      <w:r>
        <w:rPr>
          <w:color w:val="000000"/>
          <w:sz w:val="32"/>
          <w:szCs w:val="32"/>
        </w:rPr>
        <w:t>足供審查判斷之病歷及相關資料。</w:t>
      </w:r>
    </w:p>
    <w:p>
      <w:pPr>
        <w:pStyle w:val="Normal"/>
        <w:autoSpaceDE w:val="false"/>
        <w:snapToGrid w:val="false"/>
        <w:spacing w:lineRule="exact" w:line="360" w:before="120" w:after="0"/>
        <w:ind w:firstLine="570" w:left="706" w:right="0"/>
        <w:rPr>
          <w:color w:val="000000"/>
          <w:sz w:val="32"/>
          <w:szCs w:val="32"/>
        </w:rPr>
      </w:pPr>
      <w:r>
        <w:rPr>
          <w:color w:val="000000"/>
          <w:sz w:val="32"/>
          <w:szCs w:val="32"/>
        </w:rPr>
        <w:t>3.</w:t>
      </w:r>
      <w:r>
        <w:rPr>
          <w:color w:val="000000"/>
          <w:sz w:val="32"/>
          <w:szCs w:val="32"/>
        </w:rPr>
        <w:t>前項應事前審查項目規定之必備文件資料。</w:t>
      </w:r>
    </w:p>
    <w:p>
      <w:pPr>
        <w:pStyle w:val="Normal"/>
        <w:autoSpaceDE w:val="false"/>
        <w:snapToGrid w:val="false"/>
        <w:spacing w:lineRule="exact" w:line="360" w:before="120" w:after="0"/>
        <w:ind w:hanging="567" w:left="1276" w:right="0"/>
        <w:jc w:val="both"/>
        <w:rPr>
          <w:color w:val="000000"/>
          <w:sz w:val="32"/>
          <w:szCs w:val="32"/>
        </w:rPr>
      </w:pPr>
      <w:r>
        <w:rPr>
          <w:color w:val="000000"/>
          <w:sz w:val="32"/>
          <w:szCs w:val="32"/>
        </w:rPr>
        <w:t>(</w:t>
      </w:r>
      <w:r>
        <w:rPr>
          <w:color w:val="000000"/>
          <w:sz w:val="32"/>
          <w:szCs w:val="32"/>
        </w:rPr>
        <w:t>三</w:t>
      </w:r>
      <w:r>
        <w:rPr>
          <w:color w:val="000000"/>
          <w:sz w:val="32"/>
          <w:szCs w:val="32"/>
        </w:rPr>
        <w:t>)</w:t>
      </w:r>
      <w:r>
        <w:rPr>
          <w:color w:val="000000"/>
          <w:sz w:val="32"/>
          <w:szCs w:val="32"/>
        </w:rPr>
        <w:t>保險人應於收到保險醫事服務機構送達事前審查申報文件起二週內完成核定，屆期未核定者，視同完成事前審查。但資料不全經保險人通知補件者，不在此限。</w:t>
      </w:r>
    </w:p>
    <w:p>
      <w:pPr>
        <w:pStyle w:val="Normal"/>
        <w:autoSpaceDE w:val="false"/>
        <w:snapToGrid w:val="false"/>
        <w:spacing w:lineRule="exact" w:line="360" w:before="120" w:after="0"/>
        <w:ind w:hanging="567" w:left="1276" w:right="0"/>
        <w:jc w:val="both"/>
        <w:rPr>
          <w:color w:val="000000"/>
          <w:sz w:val="32"/>
          <w:szCs w:val="32"/>
        </w:rPr>
      </w:pPr>
      <w:r>
        <w:rPr>
          <w:color w:val="000000"/>
          <w:sz w:val="32"/>
          <w:szCs w:val="32"/>
        </w:rPr>
        <w:t>(</w:t>
      </w:r>
      <w:r>
        <w:rPr>
          <w:color w:val="000000"/>
          <w:sz w:val="32"/>
          <w:szCs w:val="32"/>
        </w:rPr>
        <w:t>四</w:t>
      </w:r>
      <w:r>
        <w:rPr>
          <w:color w:val="000000"/>
          <w:sz w:val="32"/>
          <w:szCs w:val="32"/>
        </w:rPr>
        <w:t>)</w:t>
      </w:r>
      <w:r>
        <w:rPr>
          <w:color w:val="000000"/>
          <w:sz w:val="32"/>
          <w:szCs w:val="32"/>
        </w:rPr>
        <w:t>經保險醫事服務機構認定因事出緊急，得以書面說明電傳保險人報備後，先行處理治療，並立即備齊應附文件補件審查。</w:t>
      </w:r>
    </w:p>
    <w:p>
      <w:pPr>
        <w:pStyle w:val="Normal"/>
        <w:autoSpaceDE w:val="false"/>
        <w:snapToGrid w:val="false"/>
        <w:spacing w:lineRule="exact" w:line="360" w:before="120" w:after="0"/>
        <w:ind w:hanging="567" w:left="1276" w:right="0"/>
        <w:jc w:val="both"/>
        <w:rPr>
          <w:color w:val="000000"/>
          <w:sz w:val="32"/>
          <w:szCs w:val="32"/>
        </w:rPr>
      </w:pPr>
      <w:r>
        <w:rPr>
          <w:color w:val="000000"/>
          <w:sz w:val="32"/>
          <w:szCs w:val="32"/>
        </w:rPr>
        <w:t>(</w:t>
      </w:r>
      <w:r>
        <w:rPr>
          <w:color w:val="000000"/>
          <w:sz w:val="32"/>
          <w:szCs w:val="32"/>
        </w:rPr>
        <w:t>五</w:t>
      </w:r>
      <w:r>
        <w:rPr>
          <w:color w:val="000000"/>
          <w:sz w:val="32"/>
          <w:szCs w:val="32"/>
        </w:rPr>
        <w:t>)</w:t>
      </w:r>
      <w:r>
        <w:rPr>
          <w:color w:val="000000"/>
          <w:sz w:val="32"/>
          <w:szCs w:val="32"/>
        </w:rPr>
        <w:t>依規定應事前審查項目，保險醫事服務機構未於事前提出申請或報備，或未經保險人核定即施予者，得依程序審查不支付費用。事前審查案件，申報或報備後未及經審查回復即因急迫需要而施行者，應依專業審查核定結果辦理。</w:t>
      </w:r>
    </w:p>
    <w:p>
      <w:pPr>
        <w:pStyle w:val="Normal"/>
        <w:autoSpaceDE w:val="false"/>
        <w:snapToGrid w:val="false"/>
        <w:spacing w:lineRule="exact" w:line="360" w:before="120" w:after="0"/>
        <w:ind w:hanging="993" w:left="993" w:right="0"/>
        <w:rPr>
          <w:color w:val="000000"/>
          <w:sz w:val="32"/>
          <w:szCs w:val="32"/>
        </w:rPr>
      </w:pPr>
      <w:r>
        <w:rPr>
          <w:color w:val="000000"/>
          <w:sz w:val="32"/>
          <w:szCs w:val="32"/>
        </w:rPr>
        <w:t>十二、施行特定治療檢查檢驗項目，除本標準已明定適應症外，應符合主管機關公告之「特定醫療技術檢查檢驗醫療儀器施行或使用管理辦法」。</w:t>
      </w:r>
    </w:p>
    <w:p>
      <w:pPr>
        <w:pStyle w:val="Normal"/>
        <w:autoSpaceDE w:val="false"/>
        <w:snapToGrid w:val="false"/>
        <w:spacing w:lineRule="exact" w:line="360" w:before="120" w:after="0"/>
        <w:ind w:hanging="993" w:left="993" w:right="0"/>
        <w:rPr>
          <w:color w:val="000000"/>
          <w:sz w:val="32"/>
          <w:szCs w:val="32"/>
        </w:rPr>
      </w:pPr>
      <w:r>
        <w:rPr>
          <w:color w:val="000000"/>
          <w:sz w:val="32"/>
          <w:szCs w:val="32"/>
        </w:rPr>
        <w:t>十三、經主管機關核定公告不給付之醫療服務項目如下：</w:t>
      </w:r>
    </w:p>
    <w:p>
      <w:pPr>
        <w:pStyle w:val="Normal"/>
        <w:autoSpaceDE w:val="false"/>
        <w:snapToGrid w:val="false"/>
        <w:spacing w:lineRule="exact" w:line="360" w:before="120" w:after="0"/>
        <w:ind w:hanging="567" w:left="1276" w:right="0"/>
        <w:jc w:val="both"/>
        <w:rPr>
          <w:color w:val="000000"/>
          <w:sz w:val="32"/>
          <w:szCs w:val="32"/>
        </w:rPr>
      </w:pPr>
      <w:r>
        <w:rPr>
          <w:color w:val="000000"/>
          <w:sz w:val="32"/>
          <w:szCs w:val="32"/>
        </w:rPr>
        <w:t>(</w:t>
      </w:r>
      <w:r>
        <w:rPr>
          <w:color w:val="000000"/>
          <w:sz w:val="32"/>
          <w:szCs w:val="32"/>
        </w:rPr>
        <w:t>一</w:t>
      </w:r>
      <w:r>
        <w:rPr>
          <w:color w:val="000000"/>
          <w:sz w:val="32"/>
          <w:szCs w:val="32"/>
        </w:rPr>
        <w:t>)</w:t>
      </w:r>
      <w:r>
        <w:rPr>
          <w:color w:val="000000"/>
          <w:sz w:val="32"/>
          <w:szCs w:val="32"/>
        </w:rPr>
        <w:t>近視手術治療。</w:t>
      </w:r>
    </w:p>
    <w:p>
      <w:pPr>
        <w:pStyle w:val="Normal"/>
        <w:autoSpaceDE w:val="false"/>
        <w:snapToGrid w:val="false"/>
        <w:spacing w:lineRule="exact" w:line="360" w:before="120" w:after="0"/>
        <w:ind w:hanging="567" w:left="1276" w:right="0"/>
        <w:jc w:val="both"/>
        <w:rPr>
          <w:color w:val="000000"/>
          <w:sz w:val="32"/>
          <w:szCs w:val="32"/>
        </w:rPr>
      </w:pPr>
      <w:r>
        <w:rPr>
          <w:color w:val="000000"/>
          <w:sz w:val="32"/>
          <w:szCs w:val="32"/>
        </w:rPr>
        <w:t>(</w:t>
      </w:r>
      <w:r>
        <w:rPr>
          <w:color w:val="000000"/>
          <w:sz w:val="32"/>
          <w:szCs w:val="32"/>
        </w:rPr>
        <w:t>二</w:t>
      </w:r>
      <w:r>
        <w:rPr>
          <w:color w:val="000000"/>
          <w:sz w:val="32"/>
          <w:szCs w:val="32"/>
        </w:rPr>
        <w:t>)</w:t>
      </w:r>
      <w:r>
        <w:rPr>
          <w:color w:val="000000"/>
          <w:sz w:val="32"/>
          <w:szCs w:val="32"/>
        </w:rPr>
        <w:t>非治療需要之人工流產，但因性侵害受孕之人工流產醫療費用者，不在此限。非治療需要之人工流產，指下列項目以外之人工流產：</w:t>
      </w:r>
    </w:p>
    <w:p>
      <w:pPr>
        <w:pStyle w:val="Normal"/>
        <w:autoSpaceDE w:val="false"/>
        <w:snapToGrid w:val="false"/>
        <w:spacing w:lineRule="exact" w:line="360" w:before="120" w:after="0"/>
        <w:ind w:hanging="282" w:left="1559" w:right="0"/>
        <w:rPr>
          <w:color w:val="000000"/>
          <w:sz w:val="32"/>
          <w:szCs w:val="32"/>
        </w:rPr>
      </w:pPr>
      <w:r>
        <w:rPr>
          <w:color w:val="000000"/>
          <w:sz w:val="32"/>
          <w:szCs w:val="32"/>
        </w:rPr>
        <w:t>1.</w:t>
      </w:r>
      <w:r>
        <w:rPr>
          <w:color w:val="000000"/>
          <w:sz w:val="32"/>
          <w:szCs w:val="32"/>
        </w:rPr>
        <w:t>本人或其配偶患有礙優生之遺傳性、傳染性疾病或精神疾病者。</w:t>
      </w:r>
    </w:p>
    <w:p>
      <w:pPr>
        <w:pStyle w:val="Normal"/>
        <w:autoSpaceDE w:val="false"/>
        <w:snapToGrid w:val="false"/>
        <w:spacing w:lineRule="exact" w:line="360" w:before="120" w:after="0"/>
        <w:ind w:hanging="282" w:left="1559" w:right="0"/>
        <w:rPr>
          <w:color w:val="000000"/>
          <w:sz w:val="32"/>
          <w:szCs w:val="32"/>
        </w:rPr>
      </w:pPr>
      <w:r>
        <w:rPr>
          <w:color w:val="000000"/>
          <w:sz w:val="32"/>
          <w:szCs w:val="32"/>
        </w:rPr>
        <w:t>2.</w:t>
      </w:r>
      <w:r>
        <w:rPr>
          <w:color w:val="000000"/>
          <w:sz w:val="32"/>
          <w:szCs w:val="32"/>
        </w:rPr>
        <w:t>本人或其配偶之四親等以內之血親患有礙優生之遺傳性、傳染性疾病或精神疾病者。</w:t>
      </w:r>
    </w:p>
    <w:p>
      <w:pPr>
        <w:pStyle w:val="Normal"/>
        <w:autoSpaceDE w:val="false"/>
        <w:snapToGrid w:val="false"/>
        <w:spacing w:lineRule="exact" w:line="360" w:before="120" w:after="0"/>
        <w:ind w:hanging="282" w:left="1559" w:right="0"/>
        <w:rPr>
          <w:color w:val="000000"/>
          <w:sz w:val="32"/>
          <w:szCs w:val="32"/>
        </w:rPr>
      </w:pPr>
      <w:r>
        <w:rPr>
          <w:color w:val="000000"/>
          <w:sz w:val="32"/>
          <w:szCs w:val="32"/>
        </w:rPr>
        <w:t>3.</w:t>
      </w:r>
      <w:r>
        <w:rPr>
          <w:color w:val="000000"/>
          <w:sz w:val="32"/>
          <w:szCs w:val="32"/>
        </w:rPr>
        <w:t>有醫學上理由，足以認定懷孕或分娩有招致生命危險或危害身體或精神健康者。</w:t>
      </w:r>
    </w:p>
    <w:p>
      <w:pPr>
        <w:pStyle w:val="Normal"/>
        <w:autoSpaceDE w:val="false"/>
        <w:snapToGrid w:val="false"/>
        <w:spacing w:lineRule="exact" w:line="360" w:before="120" w:after="0"/>
        <w:ind w:hanging="282" w:left="1559" w:right="0"/>
        <w:rPr>
          <w:color w:val="000000"/>
          <w:sz w:val="32"/>
          <w:szCs w:val="32"/>
        </w:rPr>
      </w:pPr>
      <w:r>
        <w:rPr>
          <w:color w:val="000000"/>
          <w:sz w:val="32"/>
          <w:szCs w:val="32"/>
        </w:rPr>
        <w:t>4.</w:t>
      </w:r>
      <w:r>
        <w:rPr>
          <w:color w:val="000000"/>
          <w:sz w:val="32"/>
          <w:szCs w:val="32"/>
        </w:rPr>
        <w:t>有醫學上理由，足以認定胎兒有畸形發育之虞者。</w:t>
      </w:r>
    </w:p>
    <w:p>
      <w:pPr>
        <w:pStyle w:val="Normal"/>
        <w:autoSpaceDE w:val="false"/>
        <w:snapToGrid w:val="false"/>
        <w:spacing w:lineRule="exact" w:line="360" w:before="120" w:after="0"/>
        <w:ind w:hanging="567" w:left="1276" w:right="0"/>
        <w:jc w:val="both"/>
        <w:rPr>
          <w:color w:val="000000"/>
          <w:sz w:val="32"/>
          <w:szCs w:val="32"/>
        </w:rPr>
      </w:pPr>
      <w:r>
        <w:rPr>
          <w:color w:val="000000"/>
          <w:sz w:val="32"/>
          <w:szCs w:val="32"/>
        </w:rPr>
        <w:t>(</w:t>
      </w:r>
      <w:r>
        <w:rPr>
          <w:color w:val="000000"/>
          <w:sz w:val="32"/>
          <w:szCs w:val="32"/>
        </w:rPr>
        <w:t>三</w:t>
      </w:r>
      <w:r>
        <w:rPr>
          <w:color w:val="000000"/>
          <w:sz w:val="32"/>
          <w:szCs w:val="32"/>
        </w:rPr>
        <w:t>)</w:t>
        <w:tab/>
      </w:r>
      <w:r>
        <w:rPr>
          <w:color w:val="000000"/>
          <w:sz w:val="32"/>
          <w:szCs w:val="32"/>
        </w:rPr>
        <w:t>酒癮、煙癮之戒斷治療。</w:t>
      </w:r>
    </w:p>
    <w:p>
      <w:pPr>
        <w:pStyle w:val="Normal"/>
        <w:autoSpaceDE w:val="false"/>
        <w:snapToGrid w:val="false"/>
        <w:spacing w:lineRule="exact" w:line="360" w:before="120" w:after="0"/>
        <w:ind w:hanging="567" w:left="1276" w:right="0"/>
        <w:jc w:val="both"/>
        <w:rPr>
          <w:color w:val="000000"/>
          <w:sz w:val="32"/>
          <w:szCs w:val="32"/>
        </w:rPr>
      </w:pPr>
      <w:r>
        <w:rPr>
          <w:color w:val="000000"/>
          <w:sz w:val="32"/>
          <w:szCs w:val="32"/>
        </w:rPr>
        <w:t>(</w:t>
      </w:r>
      <w:r>
        <w:rPr>
          <w:color w:val="000000"/>
          <w:sz w:val="32"/>
          <w:szCs w:val="32"/>
        </w:rPr>
        <w:t>四</w:t>
      </w:r>
      <w:r>
        <w:rPr>
          <w:color w:val="000000"/>
          <w:sz w:val="32"/>
          <w:szCs w:val="32"/>
        </w:rPr>
        <w:t>)</w:t>
      </w:r>
      <w:r>
        <w:rPr>
          <w:color w:val="000000"/>
          <w:sz w:val="32"/>
          <w:szCs w:val="32"/>
        </w:rPr>
        <w:t>以裝配眼鏡</w:t>
      </w:r>
      <w:r>
        <w:rPr>
          <w:color w:val="000000"/>
          <w:sz w:val="32"/>
          <w:szCs w:val="32"/>
        </w:rPr>
        <w:t>(</w:t>
      </w:r>
      <w:r>
        <w:rPr>
          <w:color w:val="000000"/>
          <w:sz w:val="32"/>
          <w:szCs w:val="32"/>
        </w:rPr>
        <w:t>含隱形眼鏡</w:t>
      </w:r>
      <w:r>
        <w:rPr>
          <w:color w:val="000000"/>
          <w:sz w:val="32"/>
          <w:szCs w:val="32"/>
        </w:rPr>
        <w:t>)</w:t>
      </w:r>
      <w:r>
        <w:rPr>
          <w:color w:val="000000"/>
          <w:sz w:val="32"/>
          <w:szCs w:val="32"/>
        </w:rPr>
        <w:t>為目的之診療項目，包括：眼科驗光檢查、交付配鏡處方及診察費或其他項目。</w:t>
      </w:r>
      <w:r>
        <w:rPr>
          <w:color w:val="000000"/>
          <w:sz w:val="32"/>
          <w:szCs w:val="32"/>
        </w:rPr>
        <w:t>(</w:t>
      </w:r>
      <w:r>
        <w:rPr>
          <w:color w:val="000000"/>
          <w:sz w:val="32"/>
          <w:szCs w:val="32"/>
        </w:rPr>
        <w:t>中華民國一百零四年十月二十二日衛部保字第一Ｏ四一二六Ｏ七一五號公告</w:t>
      </w:r>
      <w:r>
        <w:rPr>
          <w:color w:val="000000"/>
          <w:sz w:val="32"/>
          <w:szCs w:val="32"/>
        </w:rPr>
        <w:t>)</w:t>
      </w:r>
    </w:p>
    <w:p>
      <w:pPr>
        <w:pStyle w:val="Normal"/>
        <w:autoSpaceDE w:val="false"/>
        <w:snapToGrid w:val="false"/>
        <w:spacing w:lineRule="exact" w:line="360" w:before="120" w:after="0"/>
        <w:ind w:hanging="993" w:left="993" w:right="0"/>
        <w:rPr>
          <w:color w:val="000000"/>
          <w:sz w:val="32"/>
          <w:szCs w:val="32"/>
        </w:rPr>
      </w:pPr>
      <w:r>
        <w:rPr>
          <w:color w:val="000000"/>
          <w:sz w:val="32"/>
          <w:szCs w:val="32"/>
        </w:rPr>
        <w:t>十四、加成規範：</w:t>
      </w:r>
    </w:p>
    <w:p>
      <w:pPr>
        <w:pStyle w:val="Normal"/>
        <w:autoSpaceDE w:val="false"/>
        <w:snapToGrid w:val="false"/>
        <w:spacing w:lineRule="exact" w:line="360" w:before="120" w:after="0"/>
        <w:ind w:hanging="567" w:left="1276" w:right="0"/>
        <w:jc w:val="both"/>
        <w:rPr/>
      </w:pPr>
      <w:r>
        <w:rPr>
          <w:color w:val="000000"/>
          <w:sz w:val="32"/>
          <w:szCs w:val="32"/>
        </w:rPr>
        <w:t>(</w:t>
      </w:r>
      <w:r>
        <w:rPr>
          <w:color w:val="000000"/>
          <w:sz w:val="32"/>
          <w:szCs w:val="32"/>
        </w:rPr>
        <w:t>一</w:t>
      </w:r>
      <w:r>
        <w:rPr>
          <w:color w:val="000000"/>
          <w:sz w:val="32"/>
          <w:szCs w:val="32"/>
        </w:rPr>
        <w:t>)</w:t>
      </w:r>
      <w:r>
        <w:rPr>
          <w:color w:val="000000"/>
          <w:sz w:val="32"/>
          <w:szCs w:val="32"/>
        </w:rPr>
        <w:t>地區醫院週六、週日及國定假日之西醫門診（不含急診）案件，申報第二部各診療項目（不含第二部第一章第一節門診診察費），依各該編號項目所定點數加計百分之三十支付。</w:t>
      </w:r>
    </w:p>
    <w:p>
      <w:pPr>
        <w:pStyle w:val="Normal"/>
        <w:autoSpaceDE w:val="false"/>
        <w:snapToGrid w:val="false"/>
        <w:spacing w:lineRule="exact" w:line="360" w:before="120" w:after="0"/>
        <w:ind w:hanging="567" w:left="1276" w:right="0"/>
        <w:jc w:val="both"/>
        <w:rPr>
          <w:color w:val="000000"/>
          <w:sz w:val="32"/>
          <w:szCs w:val="32"/>
        </w:rPr>
      </w:pPr>
      <w:r>
        <w:rPr>
          <w:color w:val="000000"/>
          <w:sz w:val="32"/>
          <w:szCs w:val="32"/>
        </w:rPr>
        <w:t>(</w:t>
      </w:r>
      <w:r>
        <w:rPr>
          <w:color w:val="000000"/>
          <w:sz w:val="32"/>
          <w:szCs w:val="32"/>
        </w:rPr>
        <w:t>二</w:t>
      </w:r>
      <w:r>
        <w:rPr>
          <w:color w:val="000000"/>
          <w:sz w:val="32"/>
          <w:szCs w:val="32"/>
        </w:rPr>
        <w:t>)</w:t>
      </w:r>
      <w:r>
        <w:rPr>
          <w:color w:val="000000"/>
          <w:sz w:val="32"/>
          <w:szCs w:val="32"/>
        </w:rPr>
        <w:t>離島地區各保險醫事服務機構之住診案件，申報第二部及第三部各診療項目，依各該編號項目所定點數加計百分之三十支付。</w:t>
      </w:r>
    </w:p>
    <w:p>
      <w:pPr>
        <w:pStyle w:val="Normal"/>
        <w:autoSpaceDE w:val="false"/>
        <w:snapToGrid w:val="false"/>
        <w:spacing w:lineRule="exact" w:line="360" w:before="120" w:after="0"/>
        <w:ind w:hanging="567" w:left="1275" w:right="0"/>
        <w:rPr>
          <w:color w:val="000000"/>
          <w:sz w:val="32"/>
          <w:szCs w:val="32"/>
        </w:rPr>
      </w:pPr>
      <w:r>
        <w:rPr>
          <w:color w:val="000000"/>
          <w:sz w:val="32"/>
          <w:szCs w:val="32"/>
        </w:rPr>
        <w:t>(</w:t>
      </w:r>
      <w:r>
        <w:rPr>
          <w:color w:val="000000"/>
          <w:sz w:val="32"/>
          <w:szCs w:val="32"/>
        </w:rPr>
        <w:t>三</w:t>
      </w:r>
      <w:r>
        <w:rPr>
          <w:color w:val="000000"/>
          <w:sz w:val="32"/>
          <w:szCs w:val="32"/>
        </w:rPr>
        <w:t>)</w:t>
      </w:r>
      <w:r>
        <w:rPr>
          <w:color w:val="000000"/>
          <w:sz w:val="32"/>
          <w:szCs w:val="32"/>
        </w:rPr>
        <w:t>離島地區急救責任醫院，按主管機關公布之醫院緊急醫療能力分級評定結果，其急診案件，申報第二部及第三部各診療項目，依各該編號項目所定點數加計規範如下：</w:t>
      </w:r>
    </w:p>
    <w:p>
      <w:pPr>
        <w:pStyle w:val="Normal"/>
        <w:autoSpaceDE w:val="false"/>
        <w:snapToGrid w:val="false"/>
        <w:spacing w:lineRule="exact" w:line="360" w:before="120" w:after="0"/>
        <w:ind w:hanging="282" w:left="1559" w:right="0"/>
        <w:rPr>
          <w:color w:val="000000"/>
          <w:sz w:val="32"/>
          <w:szCs w:val="32"/>
        </w:rPr>
      </w:pPr>
      <w:r>
        <w:rPr>
          <w:color w:val="000000"/>
          <w:sz w:val="32"/>
          <w:szCs w:val="32"/>
        </w:rPr>
        <w:t>1.</w:t>
      </w:r>
      <w:r>
        <w:rPr>
          <w:color w:val="000000"/>
          <w:sz w:val="32"/>
          <w:szCs w:val="32"/>
        </w:rPr>
        <w:t>全院緊急醫療能力分級評定為重度級急救責任醫院：加計百分之五十。</w:t>
      </w:r>
    </w:p>
    <w:p>
      <w:pPr>
        <w:pStyle w:val="Normal"/>
        <w:autoSpaceDE w:val="false"/>
        <w:snapToGrid w:val="false"/>
        <w:spacing w:lineRule="exact" w:line="360" w:before="120" w:after="0"/>
        <w:ind w:hanging="282" w:left="1559" w:right="0"/>
        <w:rPr>
          <w:color w:val="000000"/>
          <w:sz w:val="32"/>
          <w:szCs w:val="32"/>
        </w:rPr>
      </w:pPr>
      <w:r>
        <w:rPr>
          <w:color w:val="000000"/>
          <w:sz w:val="32"/>
          <w:szCs w:val="32"/>
        </w:rPr>
        <w:t>2.</w:t>
      </w:r>
      <w:r>
        <w:rPr>
          <w:color w:val="000000"/>
          <w:sz w:val="32"/>
          <w:szCs w:val="32"/>
        </w:rPr>
        <w:t>全院緊急醫療能力分級評定為中度級急救責任醫院：加計百分之三十。</w:t>
      </w:r>
    </w:p>
    <w:p>
      <w:pPr>
        <w:pStyle w:val="Normal"/>
        <w:autoSpaceDE w:val="false"/>
        <w:snapToGrid w:val="false"/>
        <w:spacing w:lineRule="exact" w:line="360" w:before="120" w:after="0"/>
        <w:ind w:hanging="282" w:left="1559" w:right="0"/>
        <w:rPr>
          <w:color w:val="000000"/>
          <w:sz w:val="32"/>
          <w:szCs w:val="32"/>
        </w:rPr>
      </w:pPr>
      <w:r>
        <w:rPr>
          <w:color w:val="000000"/>
          <w:sz w:val="32"/>
          <w:szCs w:val="32"/>
        </w:rPr>
        <w:t>3.</w:t>
      </w:r>
      <w:r>
        <w:rPr>
          <w:color w:val="000000"/>
          <w:sz w:val="32"/>
          <w:szCs w:val="32"/>
        </w:rPr>
        <w:t>全院緊急醫療能力分級評定為一般級急救責任醫院：加計百分之十。</w:t>
      </w:r>
    </w:p>
    <w:p>
      <w:pPr>
        <w:pStyle w:val="Normal"/>
        <w:autoSpaceDE w:val="false"/>
        <w:snapToGrid w:val="false"/>
        <w:spacing w:lineRule="exact" w:line="360" w:before="120" w:after="0"/>
        <w:ind w:hanging="282" w:left="1559" w:right="0"/>
        <w:rPr>
          <w:color w:val="000000"/>
          <w:sz w:val="32"/>
          <w:szCs w:val="32"/>
        </w:rPr>
      </w:pPr>
      <w:r>
        <w:rPr>
          <w:color w:val="000000"/>
          <w:sz w:val="32"/>
          <w:szCs w:val="32"/>
        </w:rPr>
        <w:t>4.</w:t>
      </w:r>
      <w:r>
        <w:rPr>
          <w:color w:val="000000"/>
          <w:sz w:val="32"/>
          <w:szCs w:val="32"/>
        </w:rPr>
        <w:t>「急診診察費」中，前述第</w:t>
      </w:r>
      <w:r>
        <w:rPr>
          <w:color w:val="000000"/>
          <w:sz w:val="32"/>
          <w:szCs w:val="32"/>
        </w:rPr>
        <w:t>1</w:t>
      </w:r>
      <w:r>
        <w:rPr>
          <w:color w:val="000000"/>
          <w:sz w:val="32"/>
          <w:szCs w:val="32"/>
        </w:rPr>
        <w:t>目至第</w:t>
      </w:r>
      <w:r>
        <w:rPr>
          <w:color w:val="000000"/>
          <w:sz w:val="32"/>
          <w:szCs w:val="32"/>
        </w:rPr>
        <w:t>3</w:t>
      </w:r>
      <w:r>
        <w:rPr>
          <w:color w:val="000000"/>
          <w:sz w:val="32"/>
          <w:szCs w:val="32"/>
        </w:rPr>
        <w:t>目加計與「山地離島及符合衛生福利部公告之緊急醫療資源不足地區急救責任醫院」加計，僅可擇一採認。</w:t>
      </w:r>
    </w:p>
    <w:p>
      <w:pPr>
        <w:pStyle w:val="Normal"/>
        <w:autoSpaceDE w:val="false"/>
        <w:snapToGrid w:val="false"/>
        <w:spacing w:lineRule="exact" w:line="360" w:before="120" w:after="0"/>
        <w:ind w:hanging="993" w:left="993" w:right="0"/>
        <w:rPr>
          <w:color w:val="000000"/>
          <w:sz w:val="32"/>
          <w:szCs w:val="32"/>
        </w:rPr>
      </w:pPr>
      <w:r>
        <w:rPr>
          <w:color w:val="000000"/>
          <w:sz w:val="32"/>
          <w:szCs w:val="32"/>
        </w:rPr>
        <w:t>十五、第二部、第三部及第六部中有關期間天數之定義如下：每週</w:t>
      </w:r>
      <w:r>
        <w:rPr>
          <w:color w:val="000000"/>
          <w:sz w:val="32"/>
          <w:szCs w:val="32"/>
        </w:rPr>
        <w:t>(</w:t>
      </w:r>
      <w:r>
        <w:rPr>
          <w:color w:val="000000"/>
          <w:sz w:val="32"/>
          <w:szCs w:val="32"/>
        </w:rPr>
        <w:t>每星期</w:t>
      </w:r>
      <w:r>
        <w:rPr>
          <w:color w:val="000000"/>
          <w:sz w:val="32"/>
          <w:szCs w:val="32"/>
        </w:rPr>
        <w:t>)</w:t>
      </w:r>
      <w:r>
        <w:rPr>
          <w:color w:val="000000"/>
          <w:sz w:val="32"/>
          <w:szCs w:val="32"/>
        </w:rPr>
        <w:t>係指七天，一個月係指三十天，三個月</w:t>
      </w:r>
      <w:r>
        <w:rPr>
          <w:color w:val="000000"/>
          <w:sz w:val="32"/>
          <w:szCs w:val="32"/>
        </w:rPr>
        <w:t>(</w:t>
      </w:r>
      <w:r>
        <w:rPr>
          <w:color w:val="000000"/>
          <w:sz w:val="32"/>
          <w:szCs w:val="32"/>
        </w:rPr>
        <w:t>一季</w:t>
      </w:r>
      <w:r>
        <w:rPr>
          <w:color w:val="000000"/>
          <w:sz w:val="32"/>
          <w:szCs w:val="32"/>
        </w:rPr>
        <w:t>)</w:t>
      </w:r>
      <w:r>
        <w:rPr>
          <w:color w:val="000000"/>
          <w:sz w:val="32"/>
          <w:szCs w:val="32"/>
        </w:rPr>
        <w:t>係指九十天，六個月</w:t>
      </w:r>
      <w:r>
        <w:rPr>
          <w:color w:val="000000"/>
          <w:sz w:val="32"/>
          <w:szCs w:val="32"/>
        </w:rPr>
        <w:t>(</w:t>
      </w:r>
      <w:r>
        <w:rPr>
          <w:color w:val="000000"/>
          <w:sz w:val="32"/>
          <w:szCs w:val="32"/>
        </w:rPr>
        <w:t>半年</w:t>
      </w:r>
      <w:r>
        <w:rPr>
          <w:color w:val="000000"/>
          <w:sz w:val="32"/>
          <w:szCs w:val="32"/>
        </w:rPr>
        <w:t>)</w:t>
      </w:r>
      <w:r>
        <w:rPr>
          <w:color w:val="000000"/>
          <w:sz w:val="32"/>
          <w:szCs w:val="32"/>
        </w:rPr>
        <w:t>係指一百八十天，十二個月</w:t>
      </w:r>
      <w:r>
        <w:rPr>
          <w:color w:val="000000"/>
          <w:sz w:val="32"/>
          <w:szCs w:val="32"/>
        </w:rPr>
        <w:t>(</w:t>
      </w:r>
      <w:r>
        <w:rPr>
          <w:color w:val="000000"/>
          <w:sz w:val="32"/>
          <w:szCs w:val="32"/>
        </w:rPr>
        <w:t>一年</w:t>
      </w:r>
      <w:r>
        <w:rPr>
          <w:color w:val="000000"/>
          <w:sz w:val="32"/>
          <w:szCs w:val="32"/>
        </w:rPr>
        <w:t>)</w:t>
      </w:r>
      <w:r>
        <w:rPr>
          <w:color w:val="000000"/>
          <w:sz w:val="32"/>
          <w:szCs w:val="32"/>
        </w:rPr>
        <w:t>係指三百六十五天，十八個月</w:t>
      </w:r>
      <w:r>
        <w:rPr>
          <w:color w:val="000000"/>
          <w:sz w:val="32"/>
          <w:szCs w:val="32"/>
        </w:rPr>
        <w:t>(</w:t>
      </w:r>
      <w:r>
        <w:rPr>
          <w:color w:val="000000"/>
          <w:sz w:val="32"/>
          <w:szCs w:val="32"/>
        </w:rPr>
        <w:t>一年半</w:t>
      </w:r>
      <w:r>
        <w:rPr>
          <w:color w:val="000000"/>
          <w:sz w:val="32"/>
          <w:szCs w:val="32"/>
        </w:rPr>
        <w:t>)</w:t>
      </w:r>
      <w:r>
        <w:rPr>
          <w:color w:val="000000"/>
          <w:sz w:val="32"/>
          <w:szCs w:val="32"/>
        </w:rPr>
        <w:t>係指五百四十五天，二十四個月</w:t>
      </w:r>
      <w:r>
        <w:rPr>
          <w:color w:val="000000"/>
          <w:sz w:val="32"/>
          <w:szCs w:val="32"/>
        </w:rPr>
        <w:t>(</w:t>
      </w:r>
      <w:r>
        <w:rPr>
          <w:color w:val="000000"/>
          <w:sz w:val="32"/>
          <w:szCs w:val="32"/>
        </w:rPr>
        <w:t>兩年</w:t>
      </w:r>
      <w:r>
        <w:rPr>
          <w:color w:val="000000"/>
          <w:sz w:val="32"/>
          <w:szCs w:val="32"/>
        </w:rPr>
        <w:t>)</w:t>
      </w:r>
      <w:r>
        <w:rPr>
          <w:color w:val="000000"/>
          <w:sz w:val="32"/>
          <w:szCs w:val="32"/>
        </w:rPr>
        <w:t>係指七百三十天。每年係以日曆年計。</w:t>
      </w:r>
    </w:p>
    <w:p>
      <w:pPr>
        <w:pStyle w:val="Normal"/>
        <w:autoSpaceDE w:val="false"/>
        <w:snapToGrid w:val="false"/>
        <w:spacing w:lineRule="exact" w:line="360" w:before="120" w:after="0"/>
        <w:ind w:hanging="993" w:left="993" w:right="0"/>
        <w:rPr>
          <w:color w:val="000000"/>
          <w:sz w:val="32"/>
        </w:rPr>
      </w:pPr>
      <w:r>
        <w:rPr>
          <w:color w:val="000000"/>
          <w:sz w:val="32"/>
          <w:szCs w:val="32"/>
        </w:rPr>
        <w:t>十六、有關年齡之認定，除各部章節另有規定外，涉及年齡加成者，門診採就醫年月日、住院採診療項目實際執行年月日，減出生年月日計算；其餘年齡限制，採診療項目實際執行年月日減出生年月日計算，若無填報診療項目實際執行日期，則以就醫日期或入院日期認定。</w:t>
      </w:r>
      <w:r>
        <w:br w:type="page"/>
      </w:r>
    </w:p>
    <w:p>
      <w:pPr>
        <w:pStyle w:val="Normal"/>
        <w:autoSpaceDE w:val="false"/>
        <w:snapToGrid w:val="false"/>
        <w:spacing w:lineRule="exact" w:line="360" w:before="120" w:after="0"/>
        <w:ind w:left="993" w:right="0"/>
        <w:rPr/>
      </w:pPr>
      <w:r>
        <w:rPr/>
        <w:t>第一部總則十</w:t>
      </w:r>
      <w:r>
        <w:rPr>
          <w:rFonts w:eastAsia="Times New Roman"/>
        </w:rPr>
        <w:t xml:space="preserve">  </w:t>
      </w:r>
      <w:r>
        <w:rPr/>
        <w:t>附表須事前審查之診療項目</w:t>
      </w:r>
    </w:p>
    <w:tbl>
      <w:tblPr>
        <w:tblW w:w="9819" w:type="dxa"/>
        <w:jc w:val="left"/>
        <w:tblInd w:w="-152" w:type="dxa"/>
        <w:tblLayout w:type="fixed"/>
        <w:tblCellMar>
          <w:top w:w="0" w:type="dxa"/>
          <w:left w:w="28" w:type="dxa"/>
          <w:bottom w:w="0" w:type="dxa"/>
          <w:right w:w="28" w:type="dxa"/>
        </w:tblCellMar>
      </w:tblPr>
      <w:tblGrid>
        <w:gridCol w:w="540"/>
        <w:gridCol w:w="960"/>
        <w:gridCol w:w="2224"/>
        <w:gridCol w:w="2835"/>
        <w:gridCol w:w="3260"/>
      </w:tblGrid>
      <w:tr>
        <w:trPr>
          <w:tblHeader w:val="true"/>
        </w:trPr>
        <w:tc>
          <w:tcPr>
            <w:tcW w:w="540" w:type="dxa"/>
            <w:tcBorders>
              <w:top w:val="single" w:sz="4" w:space="0" w:color="000000"/>
              <w:left w:val="single" w:sz="4" w:space="0" w:color="000000"/>
              <w:bottom w:val="single" w:sz="4" w:space="0" w:color="000000"/>
              <w:right w:val="single" w:sz="4" w:space="0" w:color="000000"/>
            </w:tcBorders>
          </w:tcPr>
          <w:p>
            <w:pPr>
              <w:pStyle w:val="Normal"/>
              <w:spacing w:lineRule="auto" w:line="240"/>
              <w:jc w:val="center"/>
              <w:rPr>
                <w:b/>
                <w:color w:val="000000"/>
              </w:rPr>
            </w:pPr>
            <w:r>
              <w:rPr>
                <w:b/>
                <w:color w:val="000000"/>
              </w:rPr>
              <w:t>序號</w:t>
            </w:r>
          </w:p>
        </w:tc>
        <w:tc>
          <w:tcPr>
            <w:tcW w:w="960" w:type="dxa"/>
            <w:tcBorders>
              <w:top w:val="single" w:sz="4" w:space="0" w:color="000000"/>
              <w:left w:val="single" w:sz="4" w:space="0" w:color="000000"/>
              <w:bottom w:val="single" w:sz="4" w:space="0" w:color="000000"/>
              <w:right w:val="single" w:sz="4" w:space="0" w:color="000000"/>
            </w:tcBorders>
          </w:tcPr>
          <w:p>
            <w:pPr>
              <w:pStyle w:val="Normal"/>
              <w:spacing w:lineRule="auto" w:line="240"/>
              <w:rPr>
                <w:b/>
                <w:color w:val="000000"/>
              </w:rPr>
            </w:pPr>
            <w:r>
              <w:rPr>
                <w:b/>
                <w:color w:val="000000"/>
              </w:rPr>
              <w:t>編號</w:t>
            </w:r>
          </w:p>
        </w:tc>
        <w:tc>
          <w:tcPr>
            <w:tcW w:w="2224" w:type="dxa"/>
            <w:tcBorders>
              <w:top w:val="single" w:sz="4" w:space="0" w:color="000000"/>
              <w:left w:val="single" w:sz="4" w:space="0" w:color="000000"/>
              <w:bottom w:val="single" w:sz="4" w:space="0" w:color="000000"/>
              <w:right w:val="single" w:sz="4" w:space="0" w:color="000000"/>
            </w:tcBorders>
          </w:tcPr>
          <w:p>
            <w:pPr>
              <w:pStyle w:val="Normal"/>
              <w:spacing w:lineRule="auto" w:line="240"/>
              <w:rPr>
                <w:b/>
                <w:color w:val="000000"/>
              </w:rPr>
            </w:pPr>
            <w:r>
              <w:rPr>
                <w:b/>
                <w:color w:val="000000"/>
              </w:rPr>
              <w:t>診療項目名稱</w:t>
            </w:r>
          </w:p>
        </w:tc>
        <w:tc>
          <w:tcPr>
            <w:tcW w:w="2835" w:type="dxa"/>
            <w:tcBorders>
              <w:top w:val="single" w:sz="4" w:space="0" w:color="000000"/>
              <w:left w:val="single" w:sz="4" w:space="0" w:color="000000"/>
              <w:bottom w:val="single" w:sz="4" w:space="0" w:color="000000"/>
              <w:right w:val="single" w:sz="4" w:space="0" w:color="000000"/>
            </w:tcBorders>
          </w:tcPr>
          <w:p>
            <w:pPr>
              <w:pStyle w:val="Normal"/>
              <w:spacing w:lineRule="auto" w:line="240"/>
              <w:rPr>
                <w:b/>
                <w:color w:val="000000"/>
              </w:rPr>
            </w:pPr>
            <w:r>
              <w:rPr>
                <w:b/>
                <w:color w:val="000000"/>
              </w:rPr>
              <w:t>適應症</w:t>
            </w:r>
          </w:p>
        </w:tc>
        <w:tc>
          <w:tcPr>
            <w:tcW w:w="3260" w:type="dxa"/>
            <w:tcBorders>
              <w:top w:val="single" w:sz="4" w:space="0" w:color="000000"/>
              <w:left w:val="single" w:sz="4" w:space="0" w:color="000000"/>
              <w:bottom w:val="single" w:sz="4" w:space="0" w:color="000000"/>
              <w:right w:val="single" w:sz="4" w:space="0" w:color="000000"/>
            </w:tcBorders>
          </w:tcPr>
          <w:p>
            <w:pPr>
              <w:pStyle w:val="Normal"/>
              <w:spacing w:lineRule="auto" w:line="240"/>
              <w:rPr>
                <w:b/>
                <w:color w:val="000000"/>
              </w:rPr>
            </w:pPr>
            <w:r>
              <w:rPr>
                <w:b/>
                <w:color w:val="000000"/>
              </w:rPr>
              <w:t>備註</w:t>
            </w:r>
          </w:p>
        </w:tc>
      </w:tr>
      <w:tr>
        <w:trPr/>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center"/>
              <w:rPr>
                <w:color w:val="000000"/>
              </w:rPr>
            </w:pPr>
            <w:r>
              <w:rPr>
                <w:color w:val="000000"/>
              </w:rPr>
              <w:t>一</w:t>
            </w:r>
          </w:p>
        </w:tc>
        <w:tc>
          <w:tcPr>
            <w:tcW w:w="96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40"/>
              <w:rPr>
                <w:color w:val="000000"/>
              </w:rPr>
            </w:pPr>
            <w:r>
              <w:rPr>
                <w:color w:val="000000"/>
              </w:rPr>
            </w:r>
          </w:p>
        </w:tc>
        <w:tc>
          <w:tcPr>
            <w:tcW w:w="2224"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rPr>
            </w:pPr>
            <w:r>
              <w:rPr>
                <w:color w:val="000000"/>
              </w:rPr>
              <w:t>先天性唇顎裂疾病患者因無法咀嚼需進行之齒列矯正及正顎手術</w:t>
            </w:r>
          </w:p>
        </w:tc>
        <w:tc>
          <w:tcPr>
            <w:tcW w:w="2835"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40"/>
              <w:rPr>
                <w:color w:val="000000"/>
              </w:rPr>
            </w:pPr>
            <w:r>
              <w:rPr>
                <w:color w:val="000000"/>
              </w:rPr>
              <w:t>1.</w:t>
            </w:r>
            <w:r>
              <w:rPr>
                <w:color w:val="000000"/>
              </w:rPr>
              <w:t>限非美容為目的之診療。</w:t>
            </w:r>
          </w:p>
          <w:p>
            <w:pPr>
              <w:pStyle w:val="Normal"/>
              <w:autoSpaceDE w:val="false"/>
              <w:spacing w:lineRule="exact" w:line="340"/>
              <w:ind w:hanging="227" w:left="227" w:right="0"/>
              <w:rPr>
                <w:color w:val="000000"/>
              </w:rPr>
            </w:pPr>
            <w:r>
              <w:rPr>
                <w:color w:val="000000"/>
              </w:rPr>
              <w:t>2.</w:t>
            </w:r>
            <w:r>
              <w:rPr>
                <w:color w:val="000000"/>
              </w:rPr>
              <w:t>每個案上下顎各施行乙次為原則。</w:t>
            </w:r>
          </w:p>
        </w:tc>
        <w:tc>
          <w:tcPr>
            <w:tcW w:w="326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40"/>
              <w:rPr/>
            </w:pPr>
            <w:r>
              <w:rPr>
                <w:color w:val="000000"/>
                <w:szCs w:val="24"/>
              </w:rPr>
              <w:t>全部個案須事前專案向</w:t>
            </w:r>
            <w:r>
              <w:rPr>
                <w:color w:val="000000"/>
              </w:rPr>
              <w:t>保險人</w:t>
            </w:r>
            <w:r>
              <w:rPr>
                <w:color w:val="000000"/>
                <w:szCs w:val="24"/>
              </w:rPr>
              <w:t>申請。</w:t>
            </w:r>
          </w:p>
          <w:p>
            <w:pPr>
              <w:pStyle w:val="Normal"/>
              <w:autoSpaceDE w:val="false"/>
              <w:spacing w:lineRule="exact" w:line="340"/>
              <w:rPr>
                <w:color w:val="000000"/>
                <w:szCs w:val="24"/>
              </w:rPr>
            </w:pPr>
            <w:r>
              <w:rPr>
                <w:color w:val="000000"/>
                <w:szCs w:val="24"/>
              </w:rPr>
            </w:r>
          </w:p>
        </w:tc>
      </w:tr>
      <w:tr>
        <w:trPr/>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center"/>
              <w:rPr>
                <w:color w:val="000000"/>
              </w:rPr>
            </w:pPr>
            <w:r>
              <w:rPr>
                <w:color w:val="000000"/>
              </w:rPr>
              <w:t>二</w:t>
            </w:r>
          </w:p>
        </w:tc>
        <w:tc>
          <w:tcPr>
            <w:tcW w:w="960"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rPr>
            </w:pPr>
            <w:r>
              <w:rPr>
                <w:color w:val="000000"/>
              </w:rPr>
              <w:t>86006C</w:t>
            </w:r>
          </w:p>
          <w:p>
            <w:pPr>
              <w:pStyle w:val="Normal"/>
              <w:spacing w:lineRule="exact" w:line="340"/>
              <w:rPr>
                <w:color w:val="000000"/>
              </w:rPr>
            </w:pPr>
            <w:r>
              <w:rPr>
                <w:color w:val="000000"/>
              </w:rPr>
              <w:t>86007C</w:t>
            </w:r>
          </w:p>
          <w:p>
            <w:pPr>
              <w:pStyle w:val="Normal"/>
              <w:spacing w:lineRule="exact" w:line="340"/>
              <w:rPr>
                <w:color w:val="000000"/>
              </w:rPr>
            </w:pPr>
            <w:r>
              <w:rPr>
                <w:color w:val="000000"/>
              </w:rPr>
              <w:t>86008C</w:t>
            </w:r>
          </w:p>
          <w:p>
            <w:pPr>
              <w:pStyle w:val="Normal"/>
              <w:spacing w:lineRule="exact" w:line="340"/>
              <w:rPr>
                <w:color w:val="000000"/>
              </w:rPr>
            </w:pPr>
            <w:r>
              <w:rPr>
                <w:color w:val="000000"/>
              </w:rPr>
              <w:t>86011C</w:t>
            </w:r>
          </w:p>
          <w:p>
            <w:pPr>
              <w:pStyle w:val="Normal"/>
              <w:spacing w:lineRule="exact" w:line="340"/>
              <w:rPr>
                <w:color w:val="000000"/>
              </w:rPr>
            </w:pPr>
            <w:r>
              <w:rPr>
                <w:color w:val="000000"/>
              </w:rPr>
              <w:t>86012C</w:t>
            </w:r>
          </w:p>
          <w:p>
            <w:pPr>
              <w:pStyle w:val="Normal"/>
              <w:spacing w:lineRule="exact" w:line="340"/>
              <w:rPr>
                <w:color w:val="000000"/>
              </w:rPr>
            </w:pPr>
            <w:r>
              <w:rPr>
                <w:color w:val="000000"/>
              </w:rPr>
              <w:t>86013C</w:t>
            </w:r>
          </w:p>
          <w:p>
            <w:pPr>
              <w:pStyle w:val="Normal"/>
              <w:spacing w:lineRule="exact" w:line="340"/>
              <w:rPr>
                <w:color w:val="000000"/>
              </w:rPr>
            </w:pPr>
            <w:r>
              <w:rPr>
                <w:color w:val="000000"/>
              </w:rPr>
              <w:t>97605K</w:t>
            </w:r>
          </w:p>
          <w:p>
            <w:pPr>
              <w:pStyle w:val="Normal"/>
              <w:spacing w:lineRule="exact" w:line="340"/>
              <w:rPr>
                <w:color w:val="000000"/>
              </w:rPr>
            </w:pPr>
            <w:r>
              <w:rPr>
                <w:color w:val="000000"/>
              </w:rPr>
              <w:t>97606A</w:t>
            </w:r>
          </w:p>
          <w:p>
            <w:pPr>
              <w:pStyle w:val="Normal"/>
              <w:spacing w:lineRule="exact" w:line="340"/>
              <w:rPr>
                <w:color w:val="000000"/>
              </w:rPr>
            </w:pPr>
            <w:r>
              <w:rPr>
                <w:color w:val="000000"/>
              </w:rPr>
              <w:t>97607B</w:t>
            </w:r>
          </w:p>
          <w:p>
            <w:pPr>
              <w:pStyle w:val="Normal"/>
              <w:spacing w:lineRule="exact" w:line="340"/>
              <w:rPr>
                <w:color w:val="000000"/>
              </w:rPr>
            </w:pPr>
            <w:r>
              <w:rPr>
                <w:color w:val="000000"/>
              </w:rPr>
              <w:t>97608C</w:t>
            </w:r>
          </w:p>
        </w:tc>
        <w:tc>
          <w:tcPr>
            <w:tcW w:w="2224"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rPr>
            </w:pPr>
            <w:r>
              <w:rPr>
                <w:color w:val="000000"/>
              </w:rPr>
              <w:t>白內障手術</w:t>
            </w:r>
          </w:p>
        </w:tc>
        <w:tc>
          <w:tcPr>
            <w:tcW w:w="2835" w:type="dxa"/>
            <w:tcBorders>
              <w:top w:val="single" w:sz="4" w:space="0" w:color="000000"/>
              <w:left w:val="single" w:sz="4" w:space="0" w:color="000000"/>
              <w:bottom w:val="single" w:sz="4" w:space="0" w:color="000000"/>
              <w:right w:val="single" w:sz="4" w:space="0" w:color="000000"/>
            </w:tcBorders>
          </w:tcPr>
          <w:p>
            <w:pPr>
              <w:pStyle w:val="Style19"/>
              <w:numPr>
                <w:ilvl w:val="0"/>
                <w:numId w:val="0"/>
              </w:numPr>
              <w:snapToGrid w:val="false"/>
              <w:spacing w:lineRule="exact" w:line="340"/>
              <w:ind w:hanging="0" w:left="1418" w:right="0"/>
              <w:jc w:val="both"/>
              <w:rPr>
                <w:color w:val="000000"/>
                <w:sz w:val="24"/>
              </w:rPr>
            </w:pPr>
            <w:r>
              <w:rPr>
                <w:color w:val="000000"/>
                <w:sz w:val="24"/>
              </w:rPr>
            </w:r>
          </w:p>
          <w:p>
            <w:pPr>
              <w:pStyle w:val="Style19"/>
              <w:numPr>
                <w:ilvl w:val="0"/>
                <w:numId w:val="0"/>
              </w:numPr>
              <w:spacing w:lineRule="exact" w:line="340"/>
              <w:ind w:hanging="0" w:left="1418" w:right="0"/>
              <w:jc w:val="both"/>
              <w:rPr>
                <w:color w:val="000000"/>
                <w:sz w:val="24"/>
              </w:rPr>
            </w:pPr>
            <w:r>
              <w:rPr>
                <w:color w:val="000000"/>
                <w:sz w:val="24"/>
              </w:rPr>
            </w:r>
          </w:p>
          <w:p>
            <w:pPr>
              <w:pStyle w:val="Style19"/>
              <w:numPr>
                <w:ilvl w:val="0"/>
                <w:numId w:val="0"/>
              </w:numPr>
              <w:spacing w:lineRule="exact" w:line="340"/>
              <w:ind w:hanging="0" w:left="1418" w:right="0"/>
              <w:jc w:val="both"/>
              <w:rPr>
                <w:color w:val="000000"/>
                <w:sz w:val="24"/>
              </w:rPr>
            </w:pPr>
            <w:r>
              <w:rPr>
                <w:color w:val="000000"/>
                <w:sz w:val="24"/>
              </w:rPr>
            </w:r>
          </w:p>
          <w:p>
            <w:pPr>
              <w:pStyle w:val="Style19"/>
              <w:numPr>
                <w:ilvl w:val="0"/>
                <w:numId w:val="0"/>
              </w:numPr>
              <w:spacing w:lineRule="exact" w:line="340"/>
              <w:ind w:hanging="0" w:left="1418" w:right="0"/>
              <w:jc w:val="both"/>
              <w:rPr>
                <w:color w:val="000000"/>
                <w:sz w:val="24"/>
              </w:rPr>
            </w:pPr>
            <w:r>
              <w:rPr>
                <w:color w:val="000000"/>
                <w:sz w:val="24"/>
              </w:rPr>
            </w:r>
          </w:p>
          <w:p>
            <w:pPr>
              <w:pStyle w:val="Style19"/>
              <w:numPr>
                <w:ilvl w:val="0"/>
                <w:numId w:val="0"/>
              </w:numPr>
              <w:spacing w:lineRule="exact" w:line="340"/>
              <w:ind w:hanging="0" w:left="1418" w:right="0"/>
              <w:jc w:val="both"/>
              <w:rPr>
                <w:color w:val="000000"/>
                <w:sz w:val="24"/>
              </w:rPr>
            </w:pPr>
            <w:r>
              <w:rPr>
                <w:color w:val="000000"/>
                <w:sz w:val="24"/>
              </w:rPr>
            </w:r>
          </w:p>
          <w:p>
            <w:pPr>
              <w:pStyle w:val="Style19"/>
              <w:numPr>
                <w:ilvl w:val="0"/>
                <w:numId w:val="0"/>
              </w:numPr>
              <w:spacing w:lineRule="exact" w:line="340"/>
              <w:ind w:hanging="0" w:left="1418" w:right="0"/>
              <w:jc w:val="both"/>
              <w:rPr>
                <w:color w:val="000000"/>
                <w:sz w:val="24"/>
              </w:rPr>
            </w:pPr>
            <w:r>
              <w:rPr>
                <w:color w:val="000000"/>
                <w:sz w:val="24"/>
              </w:rPr>
            </w:r>
          </w:p>
          <w:p>
            <w:pPr>
              <w:pStyle w:val="Style19"/>
              <w:numPr>
                <w:ilvl w:val="0"/>
                <w:numId w:val="0"/>
              </w:numPr>
              <w:spacing w:lineRule="exact" w:line="340"/>
              <w:ind w:hanging="0" w:left="1418" w:right="0"/>
              <w:jc w:val="both"/>
              <w:rPr>
                <w:color w:val="000000"/>
                <w:sz w:val="24"/>
              </w:rPr>
            </w:pPr>
            <w:r>
              <w:rPr>
                <w:color w:val="000000"/>
                <w:sz w:val="24"/>
              </w:rPr>
            </w:r>
          </w:p>
          <w:p>
            <w:pPr>
              <w:pStyle w:val="Style19"/>
              <w:numPr>
                <w:ilvl w:val="0"/>
                <w:numId w:val="0"/>
              </w:numPr>
              <w:spacing w:lineRule="exact" w:line="340"/>
              <w:ind w:hanging="0" w:left="1418" w:right="0"/>
              <w:jc w:val="both"/>
              <w:rPr>
                <w:color w:val="000000"/>
                <w:sz w:val="24"/>
              </w:rPr>
            </w:pPr>
            <w:r>
              <w:rPr>
                <w:color w:val="000000"/>
                <w:sz w:val="24"/>
              </w:rPr>
            </w:r>
          </w:p>
          <w:p>
            <w:pPr>
              <w:pStyle w:val="Style19"/>
              <w:numPr>
                <w:ilvl w:val="0"/>
                <w:numId w:val="0"/>
              </w:numPr>
              <w:spacing w:lineRule="exact" w:line="340"/>
              <w:ind w:hanging="0" w:left="1418" w:right="0"/>
              <w:jc w:val="both"/>
              <w:rPr>
                <w:color w:val="000000"/>
                <w:sz w:val="24"/>
              </w:rPr>
            </w:pPr>
            <w:r>
              <w:rPr>
                <w:color w:val="000000"/>
                <w:sz w:val="24"/>
              </w:rPr>
            </w:r>
          </w:p>
          <w:p>
            <w:pPr>
              <w:pStyle w:val="Style19"/>
              <w:numPr>
                <w:ilvl w:val="0"/>
                <w:numId w:val="0"/>
              </w:numPr>
              <w:spacing w:lineRule="exact" w:line="340"/>
              <w:ind w:hanging="0" w:left="1418" w:right="0"/>
              <w:jc w:val="both"/>
              <w:rPr>
                <w:color w:val="000000"/>
                <w:sz w:val="24"/>
              </w:rPr>
            </w:pPr>
            <w:r>
              <w:rPr>
                <w:color w:val="000000"/>
                <w:sz w:val="24"/>
              </w:rPr>
            </w:r>
          </w:p>
          <w:p>
            <w:pPr>
              <w:pStyle w:val="Style19"/>
              <w:numPr>
                <w:ilvl w:val="0"/>
                <w:numId w:val="0"/>
              </w:numPr>
              <w:spacing w:lineRule="exact" w:line="340"/>
              <w:ind w:hanging="0" w:left="1418" w:right="0"/>
              <w:jc w:val="both"/>
              <w:rPr>
                <w:color w:val="000000"/>
                <w:sz w:val="24"/>
              </w:rPr>
            </w:pPr>
            <w:r>
              <w:rPr>
                <w:color w:val="000000"/>
                <w:sz w:val="24"/>
              </w:rPr>
            </w:r>
          </w:p>
          <w:p>
            <w:pPr>
              <w:pStyle w:val="Style19"/>
              <w:numPr>
                <w:ilvl w:val="0"/>
                <w:numId w:val="0"/>
              </w:numPr>
              <w:spacing w:lineRule="exact" w:line="340"/>
              <w:ind w:hanging="0" w:left="1418" w:right="0"/>
              <w:jc w:val="both"/>
              <w:rPr>
                <w:color w:val="000000"/>
                <w:sz w:val="24"/>
              </w:rPr>
            </w:pPr>
            <w:r>
              <w:rPr>
                <w:color w:val="000000"/>
                <w:sz w:val="24"/>
              </w:rPr>
            </w:r>
          </w:p>
          <w:p>
            <w:pPr>
              <w:pStyle w:val="Style19"/>
              <w:numPr>
                <w:ilvl w:val="0"/>
                <w:numId w:val="0"/>
              </w:numPr>
              <w:spacing w:lineRule="exact" w:line="340"/>
              <w:ind w:hanging="0" w:left="1418" w:right="0"/>
              <w:jc w:val="both"/>
              <w:rPr>
                <w:color w:val="000000"/>
                <w:sz w:val="24"/>
              </w:rPr>
            </w:pPr>
            <w:r>
              <w:rPr>
                <w:color w:val="000000"/>
                <w:sz w:val="24"/>
              </w:rPr>
            </w:r>
          </w:p>
          <w:p>
            <w:pPr>
              <w:pStyle w:val="Style19"/>
              <w:numPr>
                <w:ilvl w:val="0"/>
                <w:numId w:val="0"/>
              </w:numPr>
              <w:spacing w:lineRule="exact" w:line="340"/>
              <w:ind w:hanging="0" w:left="1418" w:right="0"/>
              <w:jc w:val="both"/>
              <w:rPr>
                <w:color w:val="000000"/>
                <w:sz w:val="24"/>
              </w:rPr>
            </w:pPr>
            <w:r>
              <w:rPr>
                <w:color w:val="000000"/>
                <w:sz w:val="24"/>
              </w:rPr>
            </w:r>
          </w:p>
          <w:p>
            <w:pPr>
              <w:pStyle w:val="Style19"/>
              <w:numPr>
                <w:ilvl w:val="0"/>
                <w:numId w:val="0"/>
              </w:numPr>
              <w:spacing w:lineRule="exact" w:line="340"/>
              <w:ind w:hanging="0" w:left="1418" w:right="0"/>
              <w:jc w:val="both"/>
              <w:rPr>
                <w:color w:val="000000"/>
                <w:sz w:val="24"/>
              </w:rPr>
            </w:pPr>
            <w:r>
              <w:rPr>
                <w:color w:val="000000"/>
                <w:sz w:val="24"/>
              </w:rPr>
            </w:r>
          </w:p>
          <w:p>
            <w:pPr>
              <w:pStyle w:val="Style19"/>
              <w:numPr>
                <w:ilvl w:val="0"/>
                <w:numId w:val="0"/>
              </w:numPr>
              <w:spacing w:lineRule="exact" w:line="340"/>
              <w:ind w:hanging="0" w:left="0"/>
              <w:jc w:val="both"/>
              <w:rPr>
                <w:color w:val="000000"/>
                <w:sz w:val="24"/>
              </w:rPr>
            </w:pPr>
            <w:r>
              <w:rPr>
                <w:color w:val="000000"/>
                <w:sz w:val="24"/>
              </w:rPr>
            </w:r>
          </w:p>
        </w:tc>
        <w:tc>
          <w:tcPr>
            <w:tcW w:w="326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ind w:hanging="240" w:left="240" w:right="0"/>
              <w:rPr/>
            </w:pPr>
            <w:r>
              <w:rPr>
                <w:color w:val="000000"/>
                <w:szCs w:val="24"/>
                <w:lang w:val="zh-TW"/>
              </w:rPr>
              <w:t>1.</w:t>
            </w:r>
            <w:r>
              <w:rPr>
                <w:color w:val="000000"/>
                <w:szCs w:val="24"/>
              </w:rPr>
              <w:t>未滿五十五歲施行白內障手術之個案，需事前審查。</w:t>
            </w:r>
          </w:p>
          <w:p>
            <w:pPr>
              <w:pStyle w:val="Normal"/>
              <w:autoSpaceDE w:val="false"/>
              <w:spacing w:lineRule="exact" w:line="320"/>
              <w:ind w:hanging="240" w:left="240" w:right="0"/>
              <w:rPr/>
            </w:pPr>
            <w:r>
              <w:rPr>
                <w:color w:val="000000"/>
                <w:szCs w:val="24"/>
                <w:lang w:val="zh-TW"/>
              </w:rPr>
              <w:t>2.</w:t>
            </w:r>
            <w:r>
              <w:rPr>
                <w:color w:val="000000"/>
                <w:szCs w:val="24"/>
              </w:rPr>
              <w:t>申請事前審查應檢附下列文件：</w:t>
            </w:r>
          </w:p>
          <w:p>
            <w:pPr>
              <w:pStyle w:val="Normal"/>
              <w:autoSpaceDE w:val="false"/>
              <w:spacing w:lineRule="exact" w:line="320"/>
              <w:ind w:hanging="567" w:left="567" w:right="0"/>
              <w:rPr>
                <w:color w:val="000000"/>
                <w:szCs w:val="24"/>
              </w:rPr>
            </w:pPr>
            <w:r>
              <w:rPr>
                <w:color w:val="000000"/>
                <w:szCs w:val="24"/>
              </w:rPr>
              <w:t>（</w:t>
            </w:r>
            <w:r>
              <w:rPr>
                <w:color w:val="000000"/>
                <w:szCs w:val="24"/>
              </w:rPr>
              <w:t>1</w:t>
            </w:r>
            <w:r>
              <w:rPr>
                <w:color w:val="000000"/>
                <w:szCs w:val="24"/>
              </w:rPr>
              <w:t>）白內障術前檢查記錄：包括</w:t>
            </w:r>
          </w:p>
          <w:p>
            <w:pPr>
              <w:pStyle w:val="Normal"/>
              <w:kinsoku w:val="false"/>
              <w:overflowPunct w:val="false"/>
              <w:autoSpaceDE w:val="false"/>
              <w:spacing w:lineRule="exact" w:line="340"/>
              <w:ind w:left="533" w:right="0"/>
              <w:jc w:val="both"/>
              <w:textAlignment w:val="auto"/>
              <w:rPr>
                <w:color w:val="000000"/>
                <w:szCs w:val="24"/>
              </w:rPr>
            </w:pPr>
            <w:r>
              <w:rPr>
                <w:color w:val="000000"/>
                <w:szCs w:val="24"/>
              </w:rPr>
              <w:t>A.</w:t>
            </w:r>
            <w:r>
              <w:rPr>
                <w:color w:val="000000"/>
                <w:szCs w:val="24"/>
              </w:rPr>
              <w:t>裸視、矯正視力。</w:t>
            </w:r>
          </w:p>
          <w:p>
            <w:pPr>
              <w:pStyle w:val="Normal"/>
              <w:kinsoku w:val="false"/>
              <w:overflowPunct w:val="false"/>
              <w:autoSpaceDE w:val="false"/>
              <w:spacing w:lineRule="exact" w:line="340"/>
              <w:ind w:left="533" w:right="0"/>
              <w:jc w:val="both"/>
              <w:textAlignment w:val="auto"/>
              <w:rPr>
                <w:color w:val="000000"/>
                <w:szCs w:val="24"/>
              </w:rPr>
            </w:pPr>
            <w:r>
              <w:rPr>
                <w:color w:val="000000"/>
                <w:szCs w:val="24"/>
              </w:rPr>
              <w:t>B.</w:t>
            </w:r>
            <w:r>
              <w:rPr>
                <w:color w:val="000000"/>
                <w:szCs w:val="24"/>
              </w:rPr>
              <w:t>眼壓。</w:t>
            </w:r>
          </w:p>
          <w:p>
            <w:pPr>
              <w:pStyle w:val="Normal"/>
              <w:kinsoku w:val="false"/>
              <w:overflowPunct w:val="false"/>
              <w:autoSpaceDE w:val="false"/>
              <w:spacing w:lineRule="exact" w:line="340"/>
              <w:ind w:left="533" w:right="0"/>
              <w:jc w:val="both"/>
              <w:textAlignment w:val="auto"/>
              <w:rPr>
                <w:color w:val="000000"/>
                <w:szCs w:val="24"/>
              </w:rPr>
            </w:pPr>
            <w:r>
              <w:rPr>
                <w:color w:val="000000"/>
                <w:szCs w:val="24"/>
              </w:rPr>
              <w:t>C.</w:t>
            </w:r>
            <w:r>
              <w:rPr>
                <w:color w:val="000000"/>
                <w:szCs w:val="24"/>
              </w:rPr>
              <w:t>角膜、前房、水晶體。</w:t>
            </w:r>
          </w:p>
          <w:p>
            <w:pPr>
              <w:pStyle w:val="Normal"/>
              <w:kinsoku w:val="false"/>
              <w:overflowPunct w:val="false"/>
              <w:autoSpaceDE w:val="false"/>
              <w:spacing w:lineRule="exact" w:line="340"/>
              <w:ind w:left="533" w:right="0"/>
              <w:jc w:val="both"/>
              <w:textAlignment w:val="auto"/>
              <w:rPr>
                <w:color w:val="000000"/>
                <w:szCs w:val="24"/>
              </w:rPr>
            </w:pPr>
            <w:r>
              <w:rPr>
                <w:color w:val="000000"/>
                <w:szCs w:val="24"/>
              </w:rPr>
              <w:t>D.</w:t>
            </w:r>
            <w:r>
              <w:rPr>
                <w:color w:val="000000"/>
                <w:szCs w:val="24"/>
              </w:rPr>
              <w:t>視網膜及玻璃體。</w:t>
            </w:r>
          </w:p>
          <w:p>
            <w:pPr>
              <w:pStyle w:val="Normal"/>
              <w:kinsoku w:val="false"/>
              <w:overflowPunct w:val="false"/>
              <w:autoSpaceDE w:val="false"/>
              <w:spacing w:lineRule="exact" w:line="340"/>
              <w:ind w:hanging="142" w:left="675" w:right="0"/>
              <w:jc w:val="both"/>
              <w:textAlignment w:val="auto"/>
              <w:rPr>
                <w:color w:val="000000"/>
                <w:szCs w:val="24"/>
              </w:rPr>
            </w:pPr>
            <w:r>
              <w:rPr>
                <w:color w:val="000000"/>
                <w:szCs w:val="24"/>
              </w:rPr>
              <w:t>E.DBR</w:t>
            </w:r>
            <w:r>
              <w:rPr>
                <w:color w:val="000000"/>
                <w:szCs w:val="24"/>
              </w:rPr>
              <w:t>雙眼紀錄（包括角膜弧度、眼軸長度及</w:t>
            </w:r>
            <w:r>
              <w:rPr>
                <w:color w:val="000000"/>
                <w:szCs w:val="24"/>
              </w:rPr>
              <w:t>IOL</w:t>
            </w:r>
            <w:r>
              <w:rPr>
                <w:color w:val="000000"/>
                <w:szCs w:val="24"/>
              </w:rPr>
              <w:t>度數）。</w:t>
            </w:r>
          </w:p>
          <w:p>
            <w:pPr>
              <w:pStyle w:val="Normal"/>
              <w:kinsoku w:val="false"/>
              <w:overflowPunct w:val="false"/>
              <w:autoSpaceDE w:val="false"/>
              <w:spacing w:lineRule="exact" w:line="340"/>
              <w:ind w:left="533" w:right="0"/>
              <w:jc w:val="both"/>
              <w:textAlignment w:val="auto"/>
              <w:rPr>
                <w:color w:val="000000"/>
                <w:szCs w:val="24"/>
              </w:rPr>
            </w:pPr>
            <w:r>
              <w:rPr>
                <w:color w:val="000000"/>
                <w:szCs w:val="24"/>
              </w:rPr>
              <w:t>F.</w:t>
            </w:r>
            <w:r>
              <w:rPr>
                <w:color w:val="000000"/>
                <w:szCs w:val="24"/>
              </w:rPr>
              <w:t>白內障照片。</w:t>
            </w:r>
          </w:p>
          <w:p>
            <w:pPr>
              <w:pStyle w:val="Style19"/>
              <w:numPr>
                <w:ilvl w:val="0"/>
                <w:numId w:val="0"/>
              </w:numPr>
              <w:spacing w:lineRule="exact" w:line="320"/>
              <w:ind w:hanging="720" w:left="720" w:right="0"/>
              <w:rPr>
                <w:color w:val="000000"/>
                <w:sz w:val="24"/>
                <w:szCs w:val="24"/>
              </w:rPr>
            </w:pPr>
            <w:r>
              <w:rPr>
                <w:color w:val="000000"/>
                <w:sz w:val="24"/>
                <w:szCs w:val="24"/>
              </w:rPr>
              <w:t>（</w:t>
            </w:r>
            <w:r>
              <w:rPr>
                <w:color w:val="000000"/>
                <w:sz w:val="24"/>
                <w:szCs w:val="24"/>
              </w:rPr>
              <w:t>2</w:t>
            </w:r>
            <w:r>
              <w:rPr>
                <w:color w:val="000000"/>
                <w:sz w:val="24"/>
                <w:szCs w:val="24"/>
              </w:rPr>
              <w:t>）病人之中文手術同意書。</w:t>
            </w:r>
          </w:p>
          <w:p>
            <w:pPr>
              <w:pStyle w:val="Normal"/>
              <w:autoSpaceDE w:val="false"/>
              <w:spacing w:lineRule="exact" w:line="320"/>
              <w:ind w:hanging="240" w:left="240" w:right="0"/>
              <w:rPr>
                <w:color w:val="000000"/>
              </w:rPr>
            </w:pPr>
            <w:r>
              <w:rPr>
                <w:color w:val="000000"/>
                <w:szCs w:val="24"/>
                <w:lang w:val="zh-TW"/>
              </w:rPr>
              <w:t>3.</w:t>
            </w:r>
            <w:r>
              <w:rPr>
                <w:color w:val="000000"/>
                <w:szCs w:val="24"/>
              </w:rPr>
              <w:t>申報費用應檢附之資料依支付標準規定。</w:t>
            </w:r>
          </w:p>
        </w:tc>
      </w:tr>
      <w:tr>
        <w:trPr/>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center"/>
              <w:rPr>
                <w:color w:val="000000"/>
              </w:rPr>
            </w:pPr>
            <w:r>
              <w:rPr>
                <w:color w:val="000000"/>
              </w:rPr>
              <w:t>三</w:t>
            </w:r>
          </w:p>
        </w:tc>
        <w:tc>
          <w:tcPr>
            <w:tcW w:w="960"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rPr>
            </w:pPr>
            <w:r>
              <w:rPr>
                <w:color w:val="000000"/>
              </w:rPr>
              <w:t>50023B</w:t>
            </w:r>
          </w:p>
          <w:p>
            <w:pPr>
              <w:pStyle w:val="Normal"/>
              <w:spacing w:lineRule="exact" w:line="340"/>
              <w:rPr>
                <w:color w:val="000000"/>
              </w:rPr>
            </w:pPr>
            <w:r>
              <w:rPr>
                <w:color w:val="000000"/>
              </w:rPr>
              <w:t>50024B</w:t>
            </w:r>
          </w:p>
          <w:p>
            <w:pPr>
              <w:pStyle w:val="Normal"/>
              <w:spacing w:lineRule="exact" w:line="340"/>
              <w:rPr>
                <w:color w:val="000000"/>
              </w:rPr>
            </w:pPr>
            <w:r>
              <w:rPr>
                <w:color w:val="000000"/>
              </w:rPr>
              <w:t>97405K</w:t>
            </w:r>
          </w:p>
          <w:p>
            <w:pPr>
              <w:pStyle w:val="Normal"/>
              <w:spacing w:lineRule="exact" w:line="340"/>
              <w:rPr>
                <w:color w:val="000000"/>
              </w:rPr>
            </w:pPr>
            <w:r>
              <w:rPr>
                <w:color w:val="000000"/>
              </w:rPr>
              <w:t>97406A</w:t>
            </w:r>
          </w:p>
          <w:p>
            <w:pPr>
              <w:pStyle w:val="Normal"/>
              <w:spacing w:lineRule="exact" w:line="340"/>
              <w:rPr>
                <w:color w:val="000000"/>
              </w:rPr>
            </w:pPr>
            <w:r>
              <w:rPr>
                <w:color w:val="000000"/>
              </w:rPr>
              <w:t>97420B</w:t>
            </w:r>
          </w:p>
          <w:p>
            <w:pPr>
              <w:pStyle w:val="Normal"/>
              <w:spacing w:lineRule="exact" w:line="340"/>
              <w:rPr>
                <w:color w:val="000000"/>
              </w:rPr>
            </w:pPr>
            <w:r>
              <w:rPr>
                <w:color w:val="000000"/>
              </w:rPr>
              <w:t>97407K</w:t>
            </w:r>
          </w:p>
          <w:p>
            <w:pPr>
              <w:pStyle w:val="Normal"/>
              <w:spacing w:lineRule="exact" w:line="340"/>
              <w:rPr>
                <w:color w:val="000000"/>
              </w:rPr>
            </w:pPr>
            <w:r>
              <w:rPr>
                <w:color w:val="000000"/>
              </w:rPr>
              <w:t>97408A</w:t>
            </w:r>
          </w:p>
          <w:p>
            <w:pPr>
              <w:pStyle w:val="Normal"/>
              <w:spacing w:lineRule="exact" w:line="340"/>
              <w:rPr>
                <w:color w:val="000000"/>
              </w:rPr>
            </w:pPr>
            <w:r>
              <w:rPr>
                <w:color w:val="000000"/>
              </w:rPr>
              <w:t>97421B</w:t>
            </w:r>
          </w:p>
          <w:p>
            <w:pPr>
              <w:pStyle w:val="Normal"/>
              <w:spacing w:lineRule="exact" w:line="340"/>
              <w:rPr>
                <w:color w:val="000000"/>
              </w:rPr>
            </w:pPr>
            <w:r>
              <w:rPr>
                <w:color w:val="000000"/>
              </w:rPr>
              <w:t>97409K</w:t>
            </w:r>
          </w:p>
          <w:p>
            <w:pPr>
              <w:pStyle w:val="Normal"/>
              <w:spacing w:lineRule="exact" w:line="340"/>
              <w:rPr>
                <w:color w:val="000000"/>
              </w:rPr>
            </w:pPr>
            <w:r>
              <w:rPr>
                <w:color w:val="000000"/>
              </w:rPr>
              <w:t>97410A</w:t>
            </w:r>
          </w:p>
          <w:p>
            <w:pPr>
              <w:pStyle w:val="Normal"/>
              <w:spacing w:lineRule="exact" w:line="340"/>
              <w:rPr>
                <w:color w:val="000000"/>
              </w:rPr>
            </w:pPr>
            <w:r>
              <w:rPr>
                <w:color w:val="000000"/>
              </w:rPr>
              <w:t>97422B</w:t>
            </w:r>
          </w:p>
          <w:p>
            <w:pPr>
              <w:pStyle w:val="Normal"/>
              <w:spacing w:lineRule="exact" w:line="340"/>
              <w:rPr>
                <w:color w:val="000000"/>
              </w:rPr>
            </w:pPr>
            <w:r>
              <w:rPr>
                <w:color w:val="000000"/>
              </w:rPr>
              <w:t>97411K</w:t>
            </w:r>
          </w:p>
          <w:p>
            <w:pPr>
              <w:pStyle w:val="Normal"/>
              <w:spacing w:lineRule="exact" w:line="340"/>
              <w:rPr>
                <w:color w:val="000000"/>
              </w:rPr>
            </w:pPr>
            <w:r>
              <w:rPr>
                <w:color w:val="000000"/>
              </w:rPr>
              <w:t>97412A</w:t>
            </w:r>
          </w:p>
          <w:p>
            <w:pPr>
              <w:pStyle w:val="Normal"/>
              <w:spacing w:lineRule="exact" w:line="340"/>
              <w:rPr>
                <w:color w:val="000000"/>
              </w:rPr>
            </w:pPr>
            <w:r>
              <w:rPr>
                <w:color w:val="000000"/>
              </w:rPr>
              <w:t>97423B</w:t>
            </w:r>
          </w:p>
        </w:tc>
        <w:tc>
          <w:tcPr>
            <w:tcW w:w="2224"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rPr>
            </w:pPr>
            <w:r>
              <w:rPr>
                <w:color w:val="000000"/>
              </w:rPr>
              <w:t>尿路結石體外震波碎石術</w:t>
            </w:r>
            <w:r>
              <w:rPr>
                <w:color w:val="000000"/>
              </w:rPr>
              <w:t>(Extracorporeal Shock Wave Lithotripsy (ESWL) for urolithiasis</w:t>
            </w:r>
            <w:r>
              <w:rPr>
                <w:color w:val="000000"/>
              </w:rPr>
              <w:t>）</w:t>
            </w:r>
          </w:p>
        </w:tc>
        <w:tc>
          <w:tcPr>
            <w:tcW w:w="2835" w:type="dxa"/>
            <w:tcBorders>
              <w:top w:val="single" w:sz="4" w:space="0" w:color="000000"/>
              <w:left w:val="single" w:sz="4" w:space="0" w:color="000000"/>
              <w:bottom w:val="single" w:sz="4" w:space="0" w:color="000000"/>
              <w:right w:val="single" w:sz="4" w:space="0" w:color="000000"/>
            </w:tcBorders>
          </w:tcPr>
          <w:p>
            <w:pPr>
              <w:pStyle w:val="Style19"/>
              <w:numPr>
                <w:ilvl w:val="0"/>
                <w:numId w:val="0"/>
              </w:numPr>
              <w:kinsoku w:val="true"/>
              <w:spacing w:lineRule="exact" w:line="340"/>
              <w:ind w:hanging="0" w:left="0"/>
              <w:rPr/>
            </w:pPr>
            <w:r>
              <w:rPr>
                <w:color w:val="000000"/>
                <w:sz w:val="24"/>
              </w:rPr>
              <w:t>病患之腎臟結石最大徑限於</w:t>
            </w:r>
            <w:r>
              <w:rPr>
                <w:color w:val="000000"/>
                <w:sz w:val="24"/>
              </w:rPr>
              <w:t>(</w:t>
            </w:r>
            <w:r>
              <w:rPr>
                <w:color w:val="000000"/>
                <w:sz w:val="24"/>
              </w:rPr>
              <w:t>等於</w:t>
            </w:r>
            <w:r>
              <w:rPr>
                <w:color w:val="000000"/>
                <w:sz w:val="24"/>
              </w:rPr>
              <w:t>)0‧5</w:t>
            </w:r>
            <w:r>
              <w:rPr>
                <w:color w:val="000000"/>
                <w:sz w:val="24"/>
              </w:rPr>
              <w:t>公分以上或尿管結石小於</w:t>
            </w:r>
            <w:r>
              <w:rPr>
                <w:color w:val="000000"/>
                <w:sz w:val="24"/>
              </w:rPr>
              <w:t>0‧5</w:t>
            </w:r>
            <w:r>
              <w:rPr>
                <w:color w:val="000000"/>
                <w:sz w:val="24"/>
              </w:rPr>
              <w:t>公分，但合併有明顯阻塞性腎水腫、有重複感染或重複腎絞痛者，方得申請。</w:t>
            </w:r>
          </w:p>
          <w:p>
            <w:pPr>
              <w:pStyle w:val="Style19"/>
              <w:numPr>
                <w:ilvl w:val="0"/>
                <w:numId w:val="0"/>
              </w:numPr>
              <w:kinsoku w:val="true"/>
              <w:spacing w:lineRule="exact" w:line="340"/>
              <w:ind w:hanging="152" w:left="152" w:right="0"/>
              <w:rPr>
                <w:color w:val="000000"/>
                <w:sz w:val="24"/>
              </w:rPr>
            </w:pPr>
            <w:r>
              <w:rPr>
                <w:color w:val="000000"/>
                <w:sz w:val="24"/>
              </w:rPr>
            </w:r>
          </w:p>
        </w:tc>
        <w:tc>
          <w:tcPr>
            <w:tcW w:w="326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40"/>
              <w:ind w:hanging="212" w:left="212" w:right="0"/>
              <w:rPr/>
            </w:pPr>
            <w:r>
              <w:rPr>
                <w:color w:val="000000"/>
              </w:rPr>
              <w:t>1.</w:t>
            </w:r>
            <w:r>
              <w:rPr>
                <w:color w:val="000000"/>
              </w:rPr>
              <w:t>除現有支付標準之事前審查規定外，平均同一病人</w:t>
            </w:r>
            <w:r>
              <w:rPr>
                <w:color w:val="000000"/>
              </w:rPr>
              <w:t>ESWL</w:t>
            </w:r>
            <w:r>
              <w:rPr>
                <w:color w:val="000000"/>
              </w:rPr>
              <w:t>重複執行率過高</w:t>
            </w:r>
            <w:r>
              <w:rPr>
                <w:rFonts w:eastAsia="Times New Roman"/>
                <w:color w:val="000000"/>
              </w:rPr>
              <w:t xml:space="preserve"> </w:t>
            </w:r>
            <w:r>
              <w:rPr>
                <w:color w:val="000000"/>
              </w:rPr>
              <w:t>(</w:t>
            </w:r>
            <w:r>
              <w:rPr>
                <w:color w:val="000000"/>
              </w:rPr>
              <w:t>百分之三十</w:t>
            </w:r>
            <w:r>
              <w:rPr>
                <w:color w:val="000000"/>
              </w:rPr>
              <w:t>)</w:t>
            </w:r>
            <w:r>
              <w:rPr>
                <w:color w:val="000000"/>
              </w:rPr>
              <w:t>之醫院，且病患有血尿、疼痛、水腎或有感染等病狀，且符合以下條件的個案，須事前專案向保險人申請。</w:t>
            </w:r>
          </w:p>
          <w:p>
            <w:pPr>
              <w:pStyle w:val="Normal"/>
              <w:autoSpaceDE w:val="false"/>
              <w:spacing w:lineRule="exact" w:line="340"/>
              <w:ind w:hanging="510" w:left="510" w:right="0"/>
              <w:rPr>
                <w:color w:val="000000"/>
              </w:rPr>
            </w:pPr>
            <w:r>
              <w:rPr>
                <w:color w:val="000000"/>
              </w:rPr>
              <w:t>（</w:t>
            </w:r>
            <w:r>
              <w:rPr>
                <w:color w:val="000000"/>
              </w:rPr>
              <w:t>1</w:t>
            </w:r>
            <w:r>
              <w:rPr>
                <w:color w:val="000000"/>
              </w:rPr>
              <w:t>）同側結石於一個月內已於同一或不同醫療機構施行過體外電震波碎石術。</w:t>
            </w:r>
          </w:p>
          <w:p>
            <w:pPr>
              <w:pStyle w:val="Normal"/>
              <w:autoSpaceDE w:val="false"/>
              <w:spacing w:lineRule="exact" w:line="340"/>
              <w:ind w:hanging="510" w:left="510" w:right="0"/>
              <w:rPr/>
            </w:pPr>
            <w:r>
              <w:rPr>
                <w:color w:val="000000"/>
              </w:rPr>
              <w:t>（</w:t>
            </w:r>
            <w:r>
              <w:rPr>
                <w:color w:val="000000"/>
              </w:rPr>
              <w:t>2</w:t>
            </w:r>
            <w:r>
              <w:rPr>
                <w:color w:val="000000"/>
              </w:rPr>
              <w:t>）腎結石大於</w:t>
            </w:r>
            <w:r>
              <w:rPr>
                <w:color w:val="000000"/>
              </w:rPr>
              <w:t>(</w:t>
            </w:r>
            <w:r>
              <w:rPr>
                <w:color w:val="000000"/>
              </w:rPr>
              <w:t>等於</w:t>
            </w:r>
            <w:r>
              <w:rPr>
                <w:color w:val="000000"/>
              </w:rPr>
              <w:t>)2.5</w:t>
            </w:r>
            <w:r>
              <w:rPr>
                <w:color w:val="000000"/>
              </w:rPr>
              <w:t>公分。</w:t>
            </w:r>
          </w:p>
          <w:p>
            <w:pPr>
              <w:pStyle w:val="Normal"/>
              <w:autoSpaceDE w:val="false"/>
              <w:spacing w:lineRule="exact" w:line="340"/>
              <w:ind w:hanging="567" w:left="567" w:right="0"/>
              <w:rPr>
                <w:color w:val="000000"/>
              </w:rPr>
            </w:pPr>
            <w:r>
              <w:rPr>
                <w:color w:val="000000"/>
              </w:rPr>
              <w:t>（</w:t>
            </w:r>
            <w:r>
              <w:rPr>
                <w:color w:val="000000"/>
              </w:rPr>
              <w:t>3</w:t>
            </w:r>
            <w:r>
              <w:rPr>
                <w:color w:val="000000"/>
              </w:rPr>
              <w:t>）輸尿管結石寬徑大於</w:t>
            </w:r>
            <w:r>
              <w:rPr>
                <w:color w:val="000000"/>
              </w:rPr>
              <w:t>(</w:t>
            </w:r>
            <w:r>
              <w:rPr>
                <w:color w:val="000000"/>
              </w:rPr>
              <w:t>等於</w:t>
            </w:r>
            <w:r>
              <w:rPr>
                <w:color w:val="000000"/>
              </w:rPr>
              <w:t>)1</w:t>
            </w:r>
            <w:r>
              <w:rPr>
                <w:color w:val="000000"/>
              </w:rPr>
              <w:t>公分。</w:t>
            </w:r>
            <w:r>
              <w:rPr>
                <w:color w:val="000000"/>
              </w:rPr>
              <w:tab/>
            </w:r>
          </w:p>
          <w:p>
            <w:pPr>
              <w:pStyle w:val="Normal"/>
              <w:autoSpaceDE w:val="false"/>
              <w:spacing w:lineRule="exact" w:line="340"/>
              <w:ind w:hanging="510" w:left="510" w:right="0"/>
              <w:rPr>
                <w:color w:val="000000"/>
              </w:rPr>
            </w:pPr>
            <w:r>
              <w:rPr>
                <w:color w:val="000000"/>
              </w:rPr>
              <w:t>（</w:t>
            </w:r>
            <w:r>
              <w:rPr>
                <w:color w:val="000000"/>
              </w:rPr>
              <w:t>4</w:t>
            </w:r>
            <w:r>
              <w:rPr>
                <w:color w:val="000000"/>
              </w:rPr>
              <w:t>）完全鹿角結石患者第一次取石治療，如有特殊情形必須施行體外電震波碎石術時，須申請事前審查。</w:t>
            </w:r>
          </w:p>
          <w:p>
            <w:pPr>
              <w:pStyle w:val="Normal"/>
              <w:autoSpaceDE w:val="false"/>
              <w:spacing w:lineRule="exact" w:line="340"/>
              <w:ind w:hanging="212" w:left="212" w:right="0"/>
              <w:rPr/>
            </w:pPr>
            <w:r>
              <w:rPr>
                <w:color w:val="000000"/>
              </w:rPr>
              <w:t>2.</w:t>
            </w:r>
            <w:r>
              <w:rPr>
                <w:color w:val="000000"/>
              </w:rPr>
              <w:t>申請事前審查應檢</w:t>
            </w:r>
            <w:r>
              <w:rPr>
                <w:color w:val="000000"/>
                <w:szCs w:val="24"/>
              </w:rPr>
              <w:t>附</w:t>
            </w:r>
            <w:r>
              <w:rPr>
                <w:color w:val="000000"/>
              </w:rPr>
              <w:t>下列文件：</w:t>
            </w:r>
          </w:p>
          <w:p>
            <w:pPr>
              <w:pStyle w:val="Normal"/>
              <w:autoSpaceDE w:val="false"/>
              <w:spacing w:lineRule="exact" w:line="340"/>
              <w:ind w:hanging="572" w:left="572" w:right="0"/>
              <w:rPr>
                <w:color w:val="000000"/>
              </w:rPr>
            </w:pPr>
            <w:r>
              <w:rPr>
                <w:color w:val="000000"/>
              </w:rPr>
              <w:t>（</w:t>
            </w:r>
            <w:r>
              <w:rPr>
                <w:color w:val="000000"/>
              </w:rPr>
              <w:t>1</w:t>
            </w:r>
            <w:r>
              <w:rPr>
                <w:color w:val="000000"/>
              </w:rPr>
              <w:t>）病患在該院之最近二年內泌尿係統</w:t>
            </w:r>
            <w:r>
              <w:rPr>
                <w:color w:val="000000"/>
              </w:rPr>
              <w:t>X</w:t>
            </w:r>
            <w:r>
              <w:rPr>
                <w:color w:val="000000"/>
              </w:rPr>
              <w:t>光片、超音波影像或影本。</w:t>
            </w:r>
          </w:p>
          <w:p>
            <w:pPr>
              <w:pStyle w:val="Normal"/>
              <w:autoSpaceDE w:val="false"/>
              <w:spacing w:lineRule="exact" w:line="340"/>
              <w:ind w:hanging="572" w:left="572" w:right="0"/>
              <w:rPr>
                <w:color w:val="000000"/>
              </w:rPr>
            </w:pPr>
            <w:r>
              <w:rPr>
                <w:color w:val="000000"/>
              </w:rPr>
              <w:t>（</w:t>
            </w:r>
            <w:r>
              <w:rPr>
                <w:color w:val="000000"/>
              </w:rPr>
              <w:t>2</w:t>
            </w:r>
            <w:r>
              <w:rPr>
                <w:color w:val="000000"/>
              </w:rPr>
              <w:t>）病患在該院之最近二年病歷影本。</w:t>
            </w:r>
          </w:p>
          <w:p>
            <w:pPr>
              <w:pStyle w:val="Normal"/>
              <w:autoSpaceDE w:val="false"/>
              <w:spacing w:lineRule="exact" w:line="340"/>
              <w:rPr>
                <w:color w:val="000000"/>
              </w:rPr>
            </w:pPr>
            <w:r>
              <w:rPr>
                <w:color w:val="000000"/>
              </w:rPr>
              <w:t>（</w:t>
            </w:r>
            <w:r>
              <w:rPr>
                <w:color w:val="000000"/>
              </w:rPr>
              <w:t>3</w:t>
            </w:r>
            <w:r>
              <w:rPr>
                <w:color w:val="000000"/>
              </w:rPr>
              <w:t>）治療計畫。</w:t>
            </w:r>
          </w:p>
          <w:p>
            <w:pPr>
              <w:pStyle w:val="Normal"/>
              <w:autoSpaceDE w:val="false"/>
              <w:spacing w:lineRule="exact" w:line="340"/>
              <w:ind w:hanging="572" w:left="572" w:right="0"/>
              <w:rPr>
                <w:color w:val="000000"/>
              </w:rPr>
            </w:pPr>
            <w:r>
              <w:rPr>
                <w:color w:val="000000"/>
              </w:rPr>
              <w:t>（</w:t>
            </w:r>
            <w:r>
              <w:rPr>
                <w:color w:val="000000"/>
              </w:rPr>
              <w:t>4</w:t>
            </w:r>
            <w:r>
              <w:rPr>
                <w:color w:val="000000"/>
              </w:rPr>
              <w:t>）病患之中文手術同意書（需載明施行體外電震波腎臟碎石術之副作用）。</w:t>
            </w:r>
          </w:p>
          <w:p>
            <w:pPr>
              <w:pStyle w:val="Normal"/>
              <w:autoSpaceDE w:val="false"/>
              <w:spacing w:lineRule="exact" w:line="340"/>
              <w:ind w:hanging="240" w:left="240" w:right="0"/>
              <w:rPr>
                <w:color w:val="000000"/>
              </w:rPr>
            </w:pPr>
            <w:r>
              <w:rPr>
                <w:color w:val="000000"/>
              </w:rPr>
              <w:t>3.</w:t>
            </w:r>
            <w:r>
              <w:rPr>
                <w:color w:val="000000"/>
              </w:rPr>
              <w:t>申報費用應檢附之資料依支付標準規定。</w:t>
            </w:r>
          </w:p>
        </w:tc>
      </w:tr>
      <w:tr>
        <w:trPr/>
        <w:tc>
          <w:tcPr>
            <w:tcW w:w="540" w:type="dxa"/>
            <w:tcBorders>
              <w:top w:val="single" w:sz="4" w:space="0" w:color="000000"/>
              <w:left w:val="single" w:sz="4" w:space="0" w:color="000000"/>
              <w:bottom w:val="single" w:sz="4" w:space="0" w:color="000000"/>
              <w:right w:val="single" w:sz="4" w:space="0" w:color="000000"/>
            </w:tcBorders>
          </w:tcPr>
          <w:p>
            <w:pPr>
              <w:pStyle w:val="Normal"/>
              <w:spacing w:lineRule="auto" w:line="240"/>
              <w:jc w:val="center"/>
              <w:rPr>
                <w:color w:val="000000"/>
              </w:rPr>
            </w:pPr>
            <w:r>
              <w:rPr>
                <w:color w:val="000000"/>
              </w:rPr>
              <w:t>四</w:t>
            </w:r>
          </w:p>
        </w:tc>
        <w:tc>
          <w:tcPr>
            <w:tcW w:w="960" w:type="dxa"/>
            <w:tcBorders>
              <w:top w:val="single" w:sz="4" w:space="0" w:color="000000"/>
              <w:left w:val="single" w:sz="4" w:space="0" w:color="000000"/>
              <w:bottom w:val="single" w:sz="4" w:space="0" w:color="000000"/>
              <w:right w:val="single" w:sz="4" w:space="0" w:color="000000"/>
            </w:tcBorders>
          </w:tcPr>
          <w:p>
            <w:pPr>
              <w:pStyle w:val="Normal"/>
              <w:spacing w:lineRule="auto" w:line="240"/>
              <w:rPr>
                <w:color w:val="000000"/>
              </w:rPr>
            </w:pPr>
            <w:r>
              <w:rPr>
                <w:color w:val="000000"/>
              </w:rPr>
              <w:t>83025C</w:t>
            </w:r>
          </w:p>
          <w:p>
            <w:pPr>
              <w:pStyle w:val="Normal"/>
              <w:spacing w:lineRule="auto" w:line="240"/>
              <w:rPr>
                <w:color w:val="000000"/>
              </w:rPr>
            </w:pPr>
            <w:r>
              <w:rPr>
                <w:color w:val="000000"/>
              </w:rPr>
              <w:t>83026C</w:t>
            </w:r>
          </w:p>
          <w:p>
            <w:pPr>
              <w:pStyle w:val="Normal"/>
              <w:spacing w:lineRule="auto" w:line="240"/>
              <w:rPr>
                <w:color w:val="000000"/>
              </w:rPr>
            </w:pPr>
            <w:r>
              <w:rPr>
                <w:color w:val="000000"/>
              </w:rPr>
              <w:t>83027C</w:t>
            </w:r>
          </w:p>
          <w:p>
            <w:pPr>
              <w:pStyle w:val="Normal"/>
              <w:spacing w:lineRule="auto" w:line="240"/>
              <w:rPr>
                <w:color w:val="000000"/>
              </w:rPr>
            </w:pPr>
            <w:r>
              <w:rPr>
                <w:color w:val="000000"/>
              </w:rPr>
              <w:t>83085B</w:t>
            </w:r>
          </w:p>
        </w:tc>
        <w:tc>
          <w:tcPr>
            <w:tcW w:w="2224" w:type="dxa"/>
            <w:tcBorders>
              <w:top w:val="single" w:sz="4" w:space="0" w:color="000000"/>
              <w:left w:val="single" w:sz="4" w:space="0" w:color="000000"/>
              <w:bottom w:val="single" w:sz="4" w:space="0" w:color="000000"/>
              <w:right w:val="single" w:sz="4" w:space="0" w:color="000000"/>
            </w:tcBorders>
          </w:tcPr>
          <w:p>
            <w:pPr>
              <w:pStyle w:val="Normal"/>
              <w:spacing w:lineRule="auto" w:line="240"/>
              <w:rPr>
                <w:color w:val="000000"/>
              </w:rPr>
            </w:pPr>
            <w:r>
              <w:rPr>
                <w:color w:val="000000"/>
              </w:rPr>
              <w:t>交感神經切除應用於手汗症治療</w:t>
            </w:r>
          </w:p>
        </w:tc>
        <w:tc>
          <w:tcPr>
            <w:tcW w:w="2835" w:type="dxa"/>
            <w:tcBorders>
              <w:top w:val="single" w:sz="4" w:space="0" w:color="000000"/>
              <w:left w:val="single" w:sz="4" w:space="0" w:color="000000"/>
              <w:bottom w:val="single" w:sz="4" w:space="0" w:color="000000"/>
              <w:right w:val="single" w:sz="4" w:space="0" w:color="000000"/>
            </w:tcBorders>
          </w:tcPr>
          <w:p>
            <w:pPr>
              <w:pStyle w:val="Style19"/>
              <w:numPr>
                <w:ilvl w:val="0"/>
                <w:numId w:val="1"/>
              </w:numPr>
              <w:kinsoku w:val="true"/>
              <w:spacing w:lineRule="auto" w:line="240"/>
              <w:rPr>
                <w:color w:val="000000"/>
                <w:sz w:val="24"/>
              </w:rPr>
            </w:pPr>
            <w:r>
              <w:rPr>
                <w:color w:val="000000"/>
                <w:sz w:val="24"/>
              </w:rPr>
              <w:t>年齡需滿二十歲以上。</w:t>
            </w:r>
          </w:p>
          <w:p>
            <w:pPr>
              <w:pStyle w:val="Style19"/>
              <w:numPr>
                <w:ilvl w:val="0"/>
                <w:numId w:val="1"/>
              </w:numPr>
              <w:kinsoku w:val="true"/>
              <w:spacing w:lineRule="auto" w:line="240"/>
              <w:rPr>
                <w:color w:val="000000"/>
                <w:sz w:val="24"/>
              </w:rPr>
            </w:pPr>
            <w:r>
              <w:rPr>
                <w:color w:val="000000"/>
                <w:sz w:val="24"/>
              </w:rPr>
              <w:t>必須因多汗症嚴重影響日常生活、工作，造成病患職業上或社交上極度不便。</w:t>
            </w:r>
          </w:p>
        </w:tc>
        <w:tc>
          <w:tcPr>
            <w:tcW w:w="326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240"/>
              <w:rPr/>
            </w:pPr>
            <w:r>
              <w:rPr>
                <w:color w:val="000000"/>
              </w:rPr>
              <w:t>必須申請事前審查，檢附手術同意書及醫師依衛生福利部提供之手術說明書內容向病患說明，並有病患及醫師簽名。</w:t>
            </w:r>
          </w:p>
        </w:tc>
      </w:tr>
    </w:tbl>
    <w:p>
      <w:pPr>
        <w:pStyle w:val="Normal"/>
        <w:spacing w:lineRule="auto" w:line="240"/>
        <w:ind w:hanging="180" w:right="0"/>
        <w:rPr>
          <w:color w:val="000000"/>
        </w:rPr>
      </w:pPr>
      <w:r>
        <w:rPr>
          <w:color w:val="000000"/>
        </w:rPr>
      </w:r>
    </w:p>
    <w:p>
      <w:pPr>
        <w:pStyle w:val="Normal"/>
        <w:spacing w:lineRule="auto" w:line="240"/>
        <w:rPr>
          <w:color w:val="000000"/>
        </w:rPr>
      </w:pPr>
      <w:r>
        <w:rPr>
          <w:color w:val="000000"/>
        </w:rPr>
      </w:r>
    </w:p>
    <w:sectPr>
      <w:headerReference w:type="default" r:id="rId2"/>
      <w:footerReference w:type="default" r:id="rId3"/>
      <w:type w:val="nextPage"/>
      <w:pgSz w:w="11906" w:h="16838"/>
      <w:pgMar w:left="1304" w:right="1304" w:gutter="0" w:header="851" w:top="1440" w:footer="992" w:bottom="1440"/>
      <w:pgNumType w:fmt="decimal"/>
      <w:formProt w:val="false"/>
      <w:textDirection w:val="lrTb"/>
      <w:docGrid w:type="default" w:linePitch="33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標楷體">
    <w:charset w:val="88"/>
    <w:family w:val="script"/>
    <w:pitch w:val="default"/>
  </w:font>
  <w:font w:name="Liberation Sans">
    <w:altName w:val="Arial"/>
    <w:charset w:val="01"/>
    <w:family w:val="swiss"/>
    <w:pitch w:val="variable"/>
  </w:font>
  <w:font w:name="全真楷書">
    <w:altName w:val="微軟正黑體"/>
    <w:charset w:val="88"/>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 xml:space="preserve">- </w:t>
    </w:r>
    <w:r>
      <w:rPr/>
      <w:t>第一部</w:t>
    </w:r>
    <w:r>
      <w:rPr>
        <w:rFonts w:eastAsia="Times New Roman"/>
      </w:rPr>
      <w:t xml:space="preserve"> </w:t>
    </w:r>
    <w:r>
      <w:rPr/>
      <w:t>-</w:t>
    </w:r>
    <w:r>
      <w:rPr/>
      <w:fldChar w:fldCharType="begin"/>
    </w:r>
    <w:r>
      <w:rPr/>
      <w:instrText xml:space="preserve"> PAGE </w:instrText>
    </w:r>
    <w:r>
      <w:rPr/>
      <w:fldChar w:fldCharType="separate"/>
    </w:r>
    <w:r>
      <w:rPr/>
      <w:t>6</w:t>
    </w:r>
    <w:r>
      <w:rPr/>
      <w:fldChar w:fldCharType="end"/>
    </w:r>
    <w:r>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b/>
    </w:r>
    <w:r>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lvlText w:val="%1、"/>
      <w:lvlJc w:val="left"/>
      <w:pPr>
        <w:tabs>
          <w:tab w:val="num" w:pos="480"/>
        </w:tabs>
        <w:ind w:left="480" w:hanging="480"/>
      </w:pPr>
      <w:rPr/>
    </w:lvl>
  </w:abstractNum>
  <w:abstractNum w:abstractNumId="2">
    <w:lvl w:ilvl="0">
      <w:start w:val="1"/>
      <w:numFmt w:val="taiwaneseCountingThousand"/>
      <w:suff w:val="nothing"/>
      <w:lvlText w:val="%1、"/>
      <w:lvlJc w:val="left"/>
      <w:pPr>
        <w:tabs>
          <w:tab w:val="num" w:pos="0"/>
        </w:tabs>
        <w:ind w:left="1066" w:hanging="726"/>
      </w:pPr>
      <w:rPr/>
    </w:lvl>
    <w:lvl w:ilvl="1">
      <w:start w:val="1"/>
      <w:numFmt w:val="taiwaneseCountingThousand"/>
      <w:suff w:val="nothing"/>
      <w:lvlText w:val="（%2）"/>
      <w:lvlJc w:val="left"/>
      <w:pPr>
        <w:tabs>
          <w:tab w:val="num" w:pos="0"/>
        </w:tabs>
        <w:ind w:left="1786" w:hanging="1077"/>
      </w:pPr>
      <w:rPr/>
    </w:lvl>
    <w:lvl w:ilvl="2">
      <w:start w:val="1"/>
      <w:numFmt w:val="decimalFullWidth"/>
      <w:suff w:val="nothing"/>
      <w:lvlText w:val="%3、"/>
      <w:lvlJc w:val="left"/>
      <w:pPr>
        <w:tabs>
          <w:tab w:val="num" w:pos="0"/>
        </w:tabs>
        <w:ind w:left="1786" w:hanging="726"/>
      </w:pPr>
      <w:rPr/>
    </w:lvl>
    <w:lvl w:ilvl="3">
      <w:start w:val="1"/>
      <w:numFmt w:val="decimalFullWidth"/>
      <w:suff w:val="nothing"/>
      <w:lvlText w:val="（%4）"/>
      <w:lvlJc w:val="left"/>
      <w:pPr>
        <w:tabs>
          <w:tab w:val="num" w:pos="0"/>
        </w:tabs>
        <w:ind w:left="2506" w:hanging="1088"/>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taiwaneseCountingThousand"/>
      <w:lvlText w:val="第%1部"/>
      <w:lvlJc w:val="left"/>
      <w:pPr>
        <w:tabs>
          <w:tab w:val="num" w:pos="1080"/>
        </w:tabs>
        <w:ind w:left="482" w:hanging="482"/>
      </w:pPr>
      <w:rPr>
        <w:sz w:val="40"/>
        <w:i w:val="false"/>
        <w:b w:val="false"/>
        <w:rFonts w:ascii="標楷體" w:hAnsi="標楷體" w:eastAsia="標楷體"/>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80"/>
  <w:autoHyphenation w:val="true"/>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TC" w:cs="Noto Sans CJK TC"/>
        <w:sz w:val="24"/>
        <w:szCs w:val="24"/>
        <w:lang w:val="en-US" w:eastAsia="zh-TW" w:bidi="hi-IN"/>
      </w:rPr>
    </w:rPrDefault>
    <w:pPrDefault>
      <w:pPr>
        <w:suppressAutoHyphens w:val="true"/>
      </w:pPr>
    </w:pPrDefault>
  </w:docDefaults>
  <w:style w:type="paragraph" w:styleId="Normal">
    <w:name w:val="Normal"/>
    <w:qFormat/>
    <w:pPr>
      <w:widowControl w:val="false"/>
      <w:bidi w:val="0"/>
      <w:spacing w:lineRule="atLeast" w:line="360"/>
      <w:textAlignment w:val="baseline"/>
    </w:pPr>
    <w:rPr>
      <w:rFonts w:ascii="Times New Roman" w:hAnsi="Times New Roman" w:eastAsia="標楷體" w:cs="Times New Roman"/>
      <w:color w:val="auto"/>
      <w:sz w:val="24"/>
      <w:szCs w:val="20"/>
      <w:lang w:val="en-US" w:eastAsia="zh-TW" w:bidi="ar-SA"/>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color w:val="000000"/>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7z0">
    <w:name w:val="WW8Num17z0"/>
    <w:qFormat/>
    <w:rPr>
      <w:rFonts w:ascii="標楷體" w:hAnsi="標楷體" w:eastAsia="標楷體"/>
      <w:b w:val="false"/>
      <w:i w:val="false"/>
      <w:sz w:val="40"/>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Style14">
    <w:name w:val="預設段落字型"/>
    <w:qFormat/>
    <w:rPr/>
  </w:style>
  <w:style w:type="character" w:styleId="PageNumber">
    <w:name w:val="Page Number"/>
    <w:basedOn w:val="Style14"/>
    <w:rPr/>
  </w:style>
  <w:style w:type="paragraph" w:styleId="Style15">
    <w:name w:val="標題"/>
    <w:basedOn w:val="Normal"/>
    <w:next w:val="BodyText"/>
    <w:qFormat/>
    <w:pPr>
      <w:keepNext w:val="true"/>
      <w:spacing w:before="240" w:after="120"/>
    </w:pPr>
    <w:rPr>
      <w:rFonts w:ascii="Liberation Sans" w:hAnsi="Liberation Sans" w:eastAsia="Noto Sans CJK TC" w:cs="Noto Sans CJK TC"/>
      <w:sz w:val="28"/>
      <w:szCs w:val="28"/>
    </w:rPr>
  </w:style>
  <w:style w:type="paragraph" w:styleId="BodyText">
    <w:name w:val="Body Text"/>
    <w:basedOn w:val="Normal"/>
    <w:pPr>
      <w:autoSpaceDE w:val="false"/>
      <w:spacing w:lineRule="auto" w:line="240"/>
      <w:textAlignment w:val="auto"/>
    </w:pPr>
    <w:rPr>
      <w:rFonts w:eastAsia="新細明體;PMingLiU"/>
      <w:color w:val="000000"/>
      <w:kern w:val="2"/>
    </w:rPr>
  </w:style>
  <w:style w:type="paragraph" w:styleId="List">
    <w:name w:val="List"/>
    <w:basedOn w:val="BodyText"/>
    <w:pPr/>
    <w:rPr>
      <w:rFonts w:cs="Noto Sans CJK TC"/>
    </w:rPr>
  </w:style>
  <w:style w:type="paragraph" w:styleId="Caption">
    <w:name w:val="Caption"/>
    <w:basedOn w:val="Normal"/>
    <w:qFormat/>
    <w:pPr>
      <w:suppressLineNumbers/>
      <w:spacing w:before="120" w:after="120"/>
    </w:pPr>
    <w:rPr>
      <w:rFonts w:cs="Noto Sans CJK TC"/>
      <w:i/>
      <w:iCs/>
      <w:sz w:val="24"/>
      <w:szCs w:val="24"/>
    </w:rPr>
  </w:style>
  <w:style w:type="paragraph" w:styleId="Style16">
    <w:name w:val="索引"/>
    <w:basedOn w:val="Normal"/>
    <w:qFormat/>
    <w:pPr>
      <w:suppressLineNumbers/>
    </w:pPr>
    <w:rPr>
      <w:rFonts w:cs="Noto Sans CJK TC"/>
    </w:rPr>
  </w:style>
  <w:style w:type="paragraph" w:styleId="BodyTextIndent">
    <w:name w:val="Body Text Indent"/>
    <w:basedOn w:val="Normal"/>
    <w:pPr>
      <w:autoSpaceDE w:val="false"/>
      <w:snapToGrid w:val="false"/>
      <w:spacing w:before="120" w:after="0"/>
      <w:ind w:hanging="284" w:left="284" w:right="0"/>
    </w:pPr>
    <w:rPr>
      <w:rFonts w:ascii="全真楷書;微軟正黑體" w:hAnsi="全真楷書;微軟正黑體" w:eastAsia="全真楷書;微軟正黑體"/>
      <w:color w:val="000000"/>
      <w:sz w:val="28"/>
    </w:rPr>
  </w:style>
  <w:style w:type="paragraph" w:styleId="2">
    <w:name w:val="本文縮排 2"/>
    <w:basedOn w:val="Normal"/>
    <w:qFormat/>
    <w:pPr>
      <w:autoSpaceDE w:val="false"/>
      <w:spacing w:lineRule="auto" w:line="240"/>
      <w:ind w:hanging="675" w:left="675" w:right="0"/>
    </w:pPr>
    <w:rPr>
      <w:rFonts w:eastAsia="全真楷書;微軟正黑體"/>
      <w:color w:val="000000"/>
    </w:rPr>
  </w:style>
  <w:style w:type="paragraph" w:styleId="3">
    <w:name w:val="本文縮排 3"/>
    <w:basedOn w:val="Normal"/>
    <w:qFormat/>
    <w:pPr>
      <w:autoSpaceDE w:val="false"/>
      <w:spacing w:lineRule="auto" w:line="240"/>
      <w:ind w:hanging="227" w:left="227" w:right="0"/>
    </w:pPr>
    <w:rPr>
      <w:rFonts w:eastAsia="全真楷書;微軟正黑體"/>
      <w:color w:val="000000"/>
    </w:rPr>
  </w:style>
  <w:style w:type="paragraph" w:styleId="HeaderandFooter">
    <w:name w:val="Header and Footer"/>
    <w:basedOn w:val="Normal"/>
    <w:qFormat/>
    <w:pPr>
      <w:suppressLineNumbers/>
      <w:tabs>
        <w:tab w:val="clear" w:pos="480"/>
        <w:tab w:val="center" w:pos="4819" w:leader="none"/>
        <w:tab w:val="right" w:pos="9638" w:leader="none"/>
      </w:tabs>
    </w:pPr>
    <w:rPr/>
  </w:style>
  <w:style w:type="paragraph" w:styleId="Footer">
    <w:name w:val="Footer"/>
    <w:basedOn w:val="Normal"/>
    <w:pPr>
      <w:tabs>
        <w:tab w:val="clear" w:pos="480"/>
        <w:tab w:val="center" w:pos="4153" w:leader="none"/>
        <w:tab w:val="right" w:pos="8306" w:leader="none"/>
      </w:tabs>
      <w:snapToGrid w:val="false"/>
    </w:pPr>
    <w:rPr>
      <w:sz w:val="20"/>
    </w:rPr>
  </w:style>
  <w:style w:type="paragraph" w:styleId="Style17">
    <w:name w:val="部"/>
    <w:basedOn w:val="Normal"/>
    <w:qFormat/>
    <w:pPr>
      <w:numPr>
        <w:ilvl w:val="0"/>
        <w:numId w:val="3"/>
      </w:numPr>
      <w:autoSpaceDE w:val="false"/>
      <w:spacing w:lineRule="auto" w:line="240"/>
    </w:pPr>
    <w:rPr>
      <w:rFonts w:eastAsia="標楷體"/>
      <w:color w:val="000000"/>
      <w:sz w:val="40"/>
    </w:rPr>
  </w:style>
  <w:style w:type="paragraph" w:styleId="Header">
    <w:name w:val="Header"/>
    <w:basedOn w:val="Normal"/>
    <w:pPr>
      <w:tabs>
        <w:tab w:val="clear" w:pos="480"/>
        <w:tab w:val="center" w:pos="4153" w:leader="none"/>
        <w:tab w:val="right" w:pos="8306" w:leader="none"/>
      </w:tabs>
      <w:snapToGrid w:val="false"/>
    </w:pPr>
    <w:rPr>
      <w:sz w:val="20"/>
    </w:rPr>
  </w:style>
  <w:style w:type="paragraph" w:styleId="Style18">
    <w:name w:val="文件引導模式"/>
    <w:basedOn w:val="Normal"/>
    <w:qFormat/>
    <w:pPr>
      <w:shd w:fill="000080" w:val="clear"/>
    </w:pPr>
    <w:rPr>
      <w:rFonts w:ascii="Arial" w:hAnsi="Arial" w:eastAsia="新細明體;PMingLiU" w:cs="Arial"/>
    </w:rPr>
  </w:style>
  <w:style w:type="paragraph" w:styleId="Style19">
    <w:name w:val="說明１、"/>
    <w:basedOn w:val="Normal"/>
    <w:qFormat/>
    <w:pPr>
      <w:numPr>
        <w:ilvl w:val="0"/>
        <w:numId w:val="2"/>
      </w:numPr>
      <w:kinsoku w:val="false"/>
      <w:autoSpaceDE w:val="false"/>
      <w:spacing w:lineRule="exact" w:line="560"/>
      <w:textAlignment w:val="auto"/>
    </w:pPr>
    <w:rPr>
      <w:sz w:val="36"/>
    </w:rPr>
  </w:style>
  <w:style w:type="paragraph" w:styleId="Style20">
    <w:name w:val="說明（一）"/>
    <w:basedOn w:val="Normal"/>
    <w:qFormat/>
    <w:pPr>
      <w:numPr>
        <w:ilvl w:val="0"/>
        <w:numId w:val="2"/>
      </w:numPr>
      <w:kinsoku w:val="false"/>
      <w:autoSpaceDE w:val="false"/>
      <w:spacing w:lineRule="exact" w:line="560"/>
      <w:textAlignment w:val="auto"/>
    </w:pPr>
    <w:rPr>
      <w:sz w:val="36"/>
    </w:rPr>
  </w:style>
  <w:style w:type="paragraph" w:styleId="Style21">
    <w:name w:val="(一)"/>
    <w:basedOn w:val="BodyTextIndent"/>
    <w:qFormat/>
    <w:pPr>
      <w:autoSpaceDE w:val="true"/>
      <w:spacing w:lineRule="auto" w:line="240" w:before="0" w:after="0"/>
      <w:ind w:hanging="0" w:left="0" w:right="0"/>
      <w:jc w:val="both"/>
      <w:textAlignment w:val="auto"/>
    </w:pPr>
    <w:rPr>
      <w:rFonts w:ascii="標楷體" w:hAnsi="標楷體" w:eastAsia="標楷體"/>
      <w:color w:val="000000"/>
      <w:kern w:val="2"/>
      <w:szCs w:val="24"/>
    </w:rPr>
  </w:style>
  <w:style w:type="paragraph" w:styleId="Style22">
    <w:name w:val="說明（１）"/>
    <w:basedOn w:val="Normal"/>
    <w:qFormat/>
    <w:pPr>
      <w:kinsoku w:val="false"/>
      <w:spacing w:lineRule="exact" w:line="500"/>
      <w:ind w:hanging="958" w:left="2234" w:right="0"/>
      <w:jc w:val="both"/>
      <w:textAlignment w:val="auto"/>
    </w:pPr>
    <w:rPr>
      <w:sz w:val="32"/>
    </w:rPr>
  </w:style>
  <w:style w:type="paragraph" w:styleId="Style23">
    <w:name w:val="說明一、"/>
    <w:basedOn w:val="Normal"/>
    <w:qFormat/>
    <w:pPr>
      <w:numPr>
        <w:ilvl w:val="0"/>
        <w:numId w:val="2"/>
      </w:numPr>
      <w:kinsoku w:val="false"/>
      <w:spacing w:lineRule="exact" w:line="500"/>
      <w:ind w:hanging="641" w:left="952" w:right="0"/>
      <w:jc w:val="both"/>
      <w:textAlignment w:val="auto"/>
    </w:pPr>
    <w:rPr>
      <w:sz w:val="32"/>
    </w:rPr>
  </w:style>
  <w:style w:type="paragraph" w:styleId="Style24">
    <w:name w:val="表格內容"/>
    <w:basedOn w:val="Normal"/>
    <w:qFormat/>
    <w:pPr>
      <w:widowControl w:val="false"/>
      <w:suppressLineNumbers/>
    </w:pPr>
    <w:rPr/>
  </w:style>
  <w:style w:type="paragraph" w:styleId="Style25">
    <w:name w:val="表格標題"/>
    <w:basedOn w:val="Style24"/>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2005-02-04T10:24:00Z</dcterms:created>
  <dc:creator>Win</dc:creator>
  <dc:description/>
  <cp:keywords/>
  <dc:language>zh-TW</dc:language>
  <cp:lastModifiedBy>蔡孟妤</cp:lastModifiedBy>
  <cp:lastPrinted>2014-02-07T10:22:00Z</cp:lastPrinted>
  <dcterms:modified xsi:type="dcterms:W3CDTF">2025-05-05T15:48:00Z</dcterms:modified>
  <cp:revision>80</cp:revision>
  <dc:subject/>
  <dc:title>Ｉ、西醫及牙醫</dc:title>
</cp:coreProperties>
</file>