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numPr>
          <w:ilvl w:val="0"/>
          <w:numId w:val="0"/>
        </w:numPr>
        <w:ind w:hanging="482" w:left="482" w:right="0"/>
        <w:rPr>
          <w:b/>
          <w:bCs/>
          <w:sz w:val="28"/>
          <w:szCs w:val="28"/>
        </w:rPr>
      </w:pPr>
      <w:r>
        <w:rPr>
          <w:b/>
          <w:bCs/>
        </w:rPr>
        <w:t>第二部</w:t>
      </w:r>
      <w:r>
        <w:rPr>
          <w:rFonts w:eastAsia="Times New Roman"/>
          <w:b/>
          <w:bCs/>
        </w:rPr>
        <w:t xml:space="preserve"> </w:t>
      </w:r>
      <w:r>
        <w:rPr>
          <w:b/>
          <w:bCs/>
        </w:rPr>
        <w:t>西醫</w:t>
      </w:r>
      <w:r>
        <w:rPr>
          <w:b/>
          <w:bCs/>
          <w:sz w:val="28"/>
          <w:szCs w:val="28"/>
        </w:rPr>
        <w:t>(</w:t>
      </w:r>
      <w:r>
        <w:rPr>
          <w:b/>
          <w:bCs/>
          <w:sz w:val="28"/>
          <w:szCs w:val="28"/>
        </w:rPr>
        <w:t>本部通則自中華民國一百十四年七月一日生效</w:t>
      </w:r>
      <w:r>
        <w:rPr>
          <w:b/>
          <w:bCs/>
          <w:sz w:val="28"/>
          <w:szCs w:val="28"/>
        </w:rPr>
        <w:t>)</w:t>
      </w:r>
    </w:p>
    <w:p>
      <w:pPr>
        <w:pStyle w:val="Normal"/>
        <w:autoSpaceDE w:val="false"/>
        <w:spacing w:lineRule="auto" w:line="240"/>
        <w:rPr>
          <w:b/>
          <w:bCs/>
          <w:color w:val="000000"/>
          <w:sz w:val="28"/>
          <w:szCs w:val="28"/>
        </w:rPr>
      </w:pPr>
      <w:r>
        <w:rPr>
          <w:b/>
          <w:bCs/>
          <w:color w:val="000000"/>
          <w:sz w:val="28"/>
          <w:szCs w:val="28"/>
        </w:rPr>
      </w:r>
    </w:p>
    <w:p>
      <w:pPr>
        <w:pStyle w:val="Normal"/>
        <w:spacing w:lineRule="exact" w:line="440"/>
        <w:ind w:hanging="756" w:left="756" w:right="0"/>
        <w:jc w:val="both"/>
        <w:rPr>
          <w:color w:val="000000"/>
          <w:sz w:val="28"/>
          <w:szCs w:val="28"/>
        </w:rPr>
      </w:pPr>
      <w:r>
        <w:rPr>
          <w:color w:val="000000"/>
          <w:sz w:val="28"/>
          <w:szCs w:val="28"/>
        </w:rPr>
        <w:t>通則：西醫基層醫事服務機構實施西醫基層門診診療項目，其申報點數依「西醫基層相對合理門診點數給付原則」辦理核付，原則如下：</w:t>
      </w:r>
      <w:r>
        <w:rPr>
          <w:rFonts w:eastAsia="Times New Roman"/>
          <w:color w:val="000000"/>
          <w:sz w:val="28"/>
          <w:szCs w:val="28"/>
        </w:rPr>
        <w:t xml:space="preserve"> </w:t>
      </w:r>
    </w:p>
    <w:p>
      <w:pPr>
        <w:pStyle w:val="Normal"/>
        <w:spacing w:lineRule="exact" w:line="440"/>
        <w:ind w:hanging="574" w:left="574" w:right="0"/>
        <w:jc w:val="both"/>
        <w:rPr>
          <w:color w:val="000000"/>
          <w:sz w:val="28"/>
          <w:szCs w:val="28"/>
        </w:rPr>
      </w:pPr>
      <w:r>
        <w:rPr>
          <w:color w:val="000000"/>
          <w:sz w:val="28"/>
          <w:szCs w:val="28"/>
        </w:rPr>
        <w:t>一、適用對象：醫事人員執業登記於醫院，並至西醫基層醫療院所</w:t>
      </w:r>
      <w:r>
        <w:rPr>
          <w:color w:val="000000"/>
          <w:sz w:val="28"/>
          <w:szCs w:val="28"/>
        </w:rPr>
        <w:t>(</w:t>
      </w:r>
      <w:r>
        <w:rPr>
          <w:color w:val="000000"/>
          <w:sz w:val="28"/>
          <w:szCs w:val="28"/>
        </w:rPr>
        <w:t>以下稱西醫基層院所</w:t>
      </w:r>
      <w:r>
        <w:rPr>
          <w:color w:val="000000"/>
          <w:sz w:val="28"/>
          <w:szCs w:val="28"/>
        </w:rPr>
        <w:t>)</w:t>
      </w:r>
      <w:r>
        <w:rPr>
          <w:color w:val="000000"/>
          <w:sz w:val="28"/>
          <w:szCs w:val="28"/>
        </w:rPr>
        <w:t>支援之醫師。</w:t>
      </w:r>
    </w:p>
    <w:p>
      <w:pPr>
        <w:pStyle w:val="Normal"/>
        <w:spacing w:lineRule="exact" w:line="440"/>
        <w:ind w:hanging="885" w:left="885" w:right="0"/>
        <w:jc w:val="both"/>
        <w:rPr>
          <w:color w:val="000000"/>
          <w:sz w:val="28"/>
          <w:szCs w:val="28"/>
        </w:rPr>
      </w:pPr>
      <w:r>
        <w:rPr>
          <w:color w:val="000000"/>
          <w:sz w:val="28"/>
          <w:szCs w:val="28"/>
        </w:rPr>
        <w:t>二、實施範圍定義：</w:t>
      </w:r>
    </w:p>
    <w:p>
      <w:pPr>
        <w:pStyle w:val="Normal"/>
        <w:spacing w:lineRule="exact" w:line="440"/>
        <w:ind w:hanging="473" w:left="823" w:right="0"/>
        <w:jc w:val="both"/>
        <w:rPr>
          <w:color w:val="000000"/>
          <w:sz w:val="28"/>
          <w:szCs w:val="28"/>
        </w:rPr>
      </w:pPr>
      <w:r>
        <w:rPr>
          <w:color w:val="000000"/>
          <w:sz w:val="28"/>
          <w:szCs w:val="28"/>
        </w:rPr>
        <w:t>(</w:t>
      </w:r>
      <w:r>
        <w:rPr>
          <w:color w:val="000000"/>
          <w:sz w:val="28"/>
          <w:szCs w:val="28"/>
        </w:rPr>
        <w:t>一</w:t>
      </w:r>
      <w:r>
        <w:rPr>
          <w:color w:val="000000"/>
          <w:sz w:val="28"/>
          <w:szCs w:val="28"/>
        </w:rPr>
        <w:t>)</w:t>
      </w:r>
      <w:r>
        <w:rPr>
          <w:color w:val="000000"/>
          <w:sz w:val="28"/>
          <w:szCs w:val="28"/>
        </w:rPr>
        <w:t>醫療費用：</w:t>
      </w:r>
    </w:p>
    <w:p>
      <w:pPr>
        <w:pStyle w:val="Normal"/>
        <w:spacing w:lineRule="exact" w:line="440"/>
        <w:ind w:hanging="286" w:left="1133" w:right="0"/>
        <w:jc w:val="both"/>
        <w:rPr/>
      </w:pPr>
      <w:r>
        <w:rPr>
          <w:color w:val="000000"/>
          <w:sz w:val="28"/>
          <w:szCs w:val="28"/>
        </w:rPr>
        <w:t>1.</w:t>
      </w:r>
      <w:r>
        <w:rPr>
          <w:color w:val="000000"/>
          <w:sz w:val="28"/>
          <w:szCs w:val="28"/>
        </w:rPr>
        <w:t>申報西醫基層門診總額之總醫療費用點數</w:t>
      </w:r>
      <w:r>
        <w:rPr>
          <w:color w:val="000000"/>
          <w:sz w:val="28"/>
          <w:szCs w:val="28"/>
        </w:rPr>
        <w:t>(</w:t>
      </w:r>
      <w:r>
        <w:rPr>
          <w:color w:val="000000"/>
          <w:sz w:val="28"/>
          <w:szCs w:val="28"/>
        </w:rPr>
        <w:t>含部分負擔</w:t>
      </w:r>
      <w:r>
        <w:rPr>
          <w:color w:val="000000"/>
          <w:sz w:val="28"/>
          <w:szCs w:val="28"/>
        </w:rPr>
        <w:t>)</w:t>
      </w:r>
      <w:r>
        <w:rPr>
          <w:color w:val="000000"/>
          <w:sz w:val="28"/>
          <w:szCs w:val="28"/>
        </w:rPr>
        <w:t>。</w:t>
      </w:r>
    </w:p>
    <w:p>
      <w:pPr>
        <w:pStyle w:val="Normal"/>
        <w:spacing w:lineRule="exact" w:line="440"/>
        <w:ind w:hanging="286" w:left="1133" w:right="0"/>
        <w:jc w:val="both"/>
        <w:rPr>
          <w:color w:val="000000"/>
          <w:sz w:val="28"/>
          <w:szCs w:val="28"/>
        </w:rPr>
      </w:pPr>
      <w:r>
        <w:rPr>
          <w:color w:val="000000"/>
          <w:sz w:val="28"/>
          <w:szCs w:val="28"/>
        </w:rPr>
        <w:t>2.</w:t>
      </w:r>
      <w:r>
        <w:rPr>
          <w:color w:val="000000"/>
          <w:sz w:val="28"/>
          <w:szCs w:val="28"/>
        </w:rPr>
        <w:t>下列排除項目費用，不列入計算：</w:t>
      </w:r>
    </w:p>
    <w:p>
      <w:pPr>
        <w:pStyle w:val="Normal"/>
        <w:spacing w:lineRule="exact" w:line="440"/>
        <w:ind w:hanging="426" w:left="1417" w:right="0"/>
        <w:jc w:val="both"/>
        <w:rPr>
          <w:color w:val="000000"/>
          <w:sz w:val="28"/>
          <w:szCs w:val="28"/>
        </w:rPr>
      </w:pPr>
      <w:r>
        <w:rPr>
          <w:color w:val="000000"/>
          <w:sz w:val="28"/>
          <w:szCs w:val="28"/>
        </w:rPr>
        <w:t>(1)</w:t>
      </w:r>
      <w:r>
        <w:rPr>
          <w:color w:val="000000"/>
          <w:sz w:val="28"/>
          <w:szCs w:val="28"/>
        </w:rPr>
        <w:t>屬行政協助之代辦案件。</w:t>
      </w:r>
    </w:p>
    <w:p>
      <w:pPr>
        <w:pStyle w:val="Normal"/>
        <w:spacing w:lineRule="exact" w:line="440"/>
        <w:ind w:firstLine="235" w:left="756" w:right="0"/>
        <w:jc w:val="both"/>
        <w:rPr>
          <w:color w:val="000000"/>
          <w:sz w:val="28"/>
          <w:szCs w:val="28"/>
        </w:rPr>
      </w:pPr>
      <w:r>
        <w:rPr>
          <w:color w:val="000000"/>
          <w:sz w:val="28"/>
          <w:szCs w:val="28"/>
        </w:rPr>
        <w:t>(2)B</w:t>
      </w:r>
      <w:r>
        <w:rPr>
          <w:color w:val="000000"/>
          <w:sz w:val="28"/>
          <w:szCs w:val="28"/>
        </w:rPr>
        <w:t>型肝炎藥費、</w:t>
      </w:r>
      <w:r>
        <w:rPr>
          <w:color w:val="000000"/>
          <w:sz w:val="28"/>
          <w:szCs w:val="28"/>
        </w:rPr>
        <w:t>C</w:t>
      </w:r>
      <w:r>
        <w:rPr>
          <w:color w:val="000000"/>
          <w:sz w:val="28"/>
          <w:szCs w:val="28"/>
        </w:rPr>
        <w:t>型肝炎藥費、精神科長效針劑藥費。</w:t>
      </w:r>
    </w:p>
    <w:p>
      <w:pPr>
        <w:pStyle w:val="Normal"/>
        <w:spacing w:lineRule="exact" w:line="440"/>
        <w:ind w:firstLine="235" w:left="756" w:right="0"/>
        <w:jc w:val="both"/>
        <w:rPr>
          <w:color w:val="000000"/>
          <w:sz w:val="28"/>
          <w:szCs w:val="28"/>
        </w:rPr>
      </w:pPr>
      <w:r>
        <w:rPr>
          <w:color w:val="000000"/>
          <w:sz w:val="28"/>
          <w:szCs w:val="28"/>
        </w:rPr>
        <w:t>(3)</w:t>
      </w:r>
      <w:r>
        <w:rPr>
          <w:color w:val="000000"/>
          <w:sz w:val="28"/>
          <w:szCs w:val="28"/>
        </w:rPr>
        <w:t>其他政策鼓勵項目。</w:t>
      </w:r>
    </w:p>
    <w:p>
      <w:pPr>
        <w:pStyle w:val="Normal"/>
        <w:spacing w:lineRule="exact" w:line="440"/>
        <w:ind w:hanging="473" w:left="823" w:right="0"/>
        <w:jc w:val="both"/>
        <w:rPr>
          <w:color w:val="000000"/>
          <w:sz w:val="28"/>
          <w:szCs w:val="28"/>
        </w:rPr>
      </w:pPr>
      <w:r>
        <w:rPr>
          <w:color w:val="000000"/>
          <w:sz w:val="28"/>
          <w:szCs w:val="28"/>
        </w:rPr>
        <w:t>(</w:t>
      </w:r>
      <w:r>
        <w:rPr>
          <w:color w:val="000000"/>
          <w:sz w:val="28"/>
          <w:szCs w:val="28"/>
        </w:rPr>
        <w:t>二</w:t>
      </w:r>
      <w:r>
        <w:rPr>
          <w:color w:val="000000"/>
          <w:sz w:val="28"/>
          <w:szCs w:val="28"/>
        </w:rPr>
        <w:t>)</w:t>
      </w:r>
      <w:r>
        <w:rPr>
          <w:color w:val="000000"/>
          <w:sz w:val="28"/>
          <w:szCs w:val="28"/>
        </w:rPr>
        <w:t>不適用地區：</w:t>
      </w:r>
    </w:p>
    <w:p>
      <w:pPr>
        <w:pStyle w:val="Normal"/>
        <w:spacing w:lineRule="exact" w:line="440"/>
        <w:ind w:hanging="286" w:left="1133" w:right="0"/>
        <w:jc w:val="both"/>
        <w:rPr>
          <w:color w:val="000000"/>
          <w:sz w:val="28"/>
          <w:szCs w:val="28"/>
        </w:rPr>
      </w:pPr>
      <w:r>
        <w:rPr>
          <w:color w:val="000000"/>
          <w:sz w:val="28"/>
          <w:szCs w:val="28"/>
        </w:rPr>
        <w:t>1.</w:t>
      </w:r>
      <w:r>
        <w:rPr>
          <w:color w:val="000000"/>
          <w:sz w:val="28"/>
          <w:szCs w:val="28"/>
        </w:rPr>
        <w:t>全民健康保險山地離島地區。</w:t>
      </w:r>
    </w:p>
    <w:p>
      <w:pPr>
        <w:pStyle w:val="Normal"/>
        <w:spacing w:lineRule="exact" w:line="440"/>
        <w:ind w:hanging="286" w:left="1133" w:right="0"/>
        <w:jc w:val="both"/>
        <w:rPr>
          <w:color w:val="000000"/>
          <w:sz w:val="28"/>
          <w:szCs w:val="28"/>
        </w:rPr>
      </w:pPr>
      <w:r>
        <w:rPr>
          <w:color w:val="000000"/>
          <w:sz w:val="28"/>
          <w:szCs w:val="28"/>
        </w:rPr>
        <w:t>2.</w:t>
      </w:r>
      <w:r>
        <w:rPr>
          <w:color w:val="000000"/>
          <w:sz w:val="28"/>
          <w:szCs w:val="28"/>
        </w:rPr>
        <w:t>全民健康保險西醫醫療資源不足地區改善方案施行鄉鎮。</w:t>
      </w:r>
    </w:p>
    <w:p>
      <w:pPr>
        <w:pStyle w:val="Normal"/>
        <w:spacing w:lineRule="exact" w:line="440"/>
        <w:ind w:hanging="286" w:left="1133" w:right="0"/>
        <w:jc w:val="both"/>
        <w:rPr>
          <w:color w:val="000000"/>
          <w:sz w:val="28"/>
          <w:szCs w:val="28"/>
        </w:rPr>
      </w:pPr>
      <w:r>
        <w:rPr>
          <w:color w:val="000000"/>
          <w:sz w:val="28"/>
          <w:szCs w:val="28"/>
        </w:rPr>
        <w:t>3.</w:t>
      </w:r>
      <w:r>
        <w:rPr>
          <w:color w:val="000000"/>
          <w:sz w:val="28"/>
          <w:szCs w:val="28"/>
        </w:rPr>
        <w:t>全民健康保險醫療資源缺乏地區。</w:t>
      </w:r>
    </w:p>
    <w:p>
      <w:pPr>
        <w:pStyle w:val="Normal"/>
        <w:spacing w:lineRule="exact" w:line="440"/>
        <w:ind w:hanging="574" w:left="574" w:right="0"/>
        <w:jc w:val="both"/>
        <w:rPr>
          <w:color w:val="000000"/>
          <w:sz w:val="28"/>
          <w:szCs w:val="28"/>
        </w:rPr>
      </w:pPr>
      <w:r>
        <w:rPr>
          <w:color w:val="000000"/>
          <w:sz w:val="28"/>
          <w:szCs w:val="28"/>
        </w:rPr>
        <w:t>三、折付方式：執登於醫院之醫師，以醫師為單位計算各西醫基層院所各醫師合計折付點數上限，並與西醫基層院所審查核付點數比較，計算實際核付點數。</w:t>
      </w:r>
    </w:p>
    <w:p>
      <w:pPr>
        <w:pStyle w:val="Normal"/>
        <w:spacing w:lineRule="exact" w:line="440"/>
        <w:ind w:hanging="473" w:left="823" w:right="0"/>
        <w:jc w:val="both"/>
        <w:rPr>
          <w:color w:val="000000"/>
          <w:sz w:val="28"/>
          <w:szCs w:val="28"/>
        </w:rPr>
      </w:pPr>
      <w:r>
        <w:rPr>
          <w:color w:val="000000"/>
          <w:sz w:val="28"/>
          <w:szCs w:val="28"/>
        </w:rPr>
        <w:t>(</w:t>
      </w:r>
      <w:r>
        <w:rPr>
          <w:color w:val="000000"/>
          <w:sz w:val="28"/>
          <w:szCs w:val="28"/>
        </w:rPr>
        <w:t>一</w:t>
      </w:r>
      <w:r>
        <w:rPr>
          <w:color w:val="000000"/>
          <w:sz w:val="28"/>
          <w:szCs w:val="28"/>
        </w:rPr>
        <w:t>)</w:t>
      </w:r>
      <w:r>
        <w:rPr>
          <w:color w:val="000000"/>
          <w:sz w:val="28"/>
          <w:szCs w:val="28"/>
        </w:rPr>
        <w:t>先計算每位醫師每月申報西醫基層門診醫療費用</w:t>
      </w:r>
      <w:r>
        <w:rPr>
          <w:color w:val="000000"/>
          <w:sz w:val="28"/>
          <w:szCs w:val="28"/>
        </w:rPr>
        <w:t>(=</w:t>
      </w:r>
      <w:r>
        <w:rPr>
          <w:color w:val="000000"/>
          <w:sz w:val="28"/>
          <w:szCs w:val="28"/>
        </w:rPr>
        <w:t>申報總醫療點數</w:t>
      </w:r>
      <w:r>
        <w:rPr>
          <w:color w:val="000000"/>
          <w:sz w:val="28"/>
          <w:szCs w:val="28"/>
        </w:rPr>
        <w:t>(</w:t>
      </w:r>
      <w:r>
        <w:rPr>
          <w:color w:val="000000"/>
          <w:sz w:val="28"/>
          <w:szCs w:val="28"/>
        </w:rPr>
        <w:t>含部分負擔</w:t>
      </w:r>
      <w:r>
        <w:rPr>
          <w:color w:val="000000"/>
          <w:sz w:val="28"/>
          <w:szCs w:val="28"/>
        </w:rPr>
        <w:t>)-</w:t>
      </w:r>
      <w:r>
        <w:rPr>
          <w:color w:val="000000"/>
          <w:sz w:val="28"/>
          <w:szCs w:val="28"/>
        </w:rPr>
        <w:t>排除項目費用點數</w:t>
      </w:r>
      <w:r>
        <w:rPr>
          <w:color w:val="000000"/>
          <w:sz w:val="28"/>
          <w:szCs w:val="28"/>
        </w:rPr>
        <w:t>)</w:t>
      </w:r>
      <w:r>
        <w:rPr>
          <w:color w:val="000000"/>
          <w:sz w:val="28"/>
          <w:szCs w:val="28"/>
        </w:rPr>
        <w:t>計算實際核付點數，點數在十萬點以下時維持原費用點數，超過十萬點時，乘以</w:t>
      </w:r>
      <w:r>
        <w:rPr>
          <w:color w:val="000000"/>
          <w:sz w:val="28"/>
          <w:szCs w:val="28"/>
        </w:rPr>
        <w:t>0.75</w:t>
      </w:r>
      <w:r>
        <w:rPr>
          <w:color w:val="000000"/>
          <w:sz w:val="28"/>
          <w:szCs w:val="28"/>
        </w:rPr>
        <w:t>予以折付方式，計算當月該醫師折付上限總點數。</w:t>
      </w:r>
    </w:p>
    <w:p>
      <w:pPr>
        <w:pStyle w:val="Normal"/>
        <w:spacing w:lineRule="exact" w:line="440"/>
        <w:ind w:hanging="868" w:left="1701" w:right="0"/>
        <w:jc w:val="both"/>
        <w:rPr/>
      </w:pPr>
      <w:r>
        <w:rPr>
          <w:color w:val="000000"/>
          <w:sz w:val="28"/>
          <w:szCs w:val="28"/>
        </w:rPr>
        <w:t>註</w:t>
      </w:r>
      <w:r>
        <w:rPr>
          <w:color w:val="000000"/>
          <w:sz w:val="28"/>
          <w:szCs w:val="28"/>
        </w:rPr>
        <w:t>1</w:t>
      </w:r>
      <w:r>
        <w:rPr>
          <w:color w:val="000000"/>
          <w:sz w:val="28"/>
          <w:szCs w:val="28"/>
        </w:rPr>
        <w:t>：各醫師每月申報費用之計算，係於每月底針對已受理並完成轉檔之資料，啟動全國醫師別總費用歸戶，將各西醫基層院所申報上月費用及當月補送上月以前之補報費用中該醫師申報之點數加計。因故上月執業費用於次次月以後申報者</w:t>
      </w:r>
      <w:r>
        <w:rPr>
          <w:color w:val="000000"/>
          <w:sz w:val="28"/>
          <w:szCs w:val="28"/>
        </w:rPr>
        <w:t>(</w:t>
      </w:r>
      <w:r>
        <w:rPr>
          <w:color w:val="000000"/>
          <w:sz w:val="28"/>
          <w:szCs w:val="28"/>
        </w:rPr>
        <w:t>限發生年月費用未曾申報者</w:t>
      </w:r>
      <w:r>
        <w:rPr>
          <w:color w:val="000000"/>
          <w:sz w:val="28"/>
          <w:szCs w:val="28"/>
        </w:rPr>
        <w:t>)</w:t>
      </w:r>
      <w:r>
        <w:rPr>
          <w:color w:val="000000"/>
          <w:sz w:val="28"/>
          <w:szCs w:val="28"/>
        </w:rPr>
        <w:t>，追溯計算費用發生年月該醫師於其他院所執業費用之點數，並按規定加計折算費用，原已完成歸戶計算費用之西醫基層院所則不予追扣或補付費用。</w:t>
      </w:r>
    </w:p>
    <w:p>
      <w:pPr>
        <w:pStyle w:val="Normal"/>
        <w:spacing w:lineRule="exact" w:line="440"/>
        <w:ind w:hanging="868" w:left="1701" w:right="0"/>
        <w:jc w:val="both"/>
        <w:rPr>
          <w:color w:val="000000"/>
          <w:sz w:val="28"/>
          <w:szCs w:val="28"/>
        </w:rPr>
      </w:pPr>
      <w:r>
        <w:rPr>
          <w:color w:val="000000"/>
          <w:sz w:val="28"/>
          <w:szCs w:val="28"/>
        </w:rPr>
        <w:t>註</w:t>
      </w:r>
      <w:r>
        <w:rPr>
          <w:color w:val="000000"/>
          <w:sz w:val="28"/>
          <w:szCs w:val="28"/>
        </w:rPr>
        <w:t>2</w:t>
      </w:r>
      <w:r>
        <w:rPr>
          <w:color w:val="000000"/>
          <w:sz w:val="28"/>
          <w:szCs w:val="28"/>
        </w:rPr>
        <w:t>：全國醫師別總費用歸戶後，申報醫師身分證檢核錯誤及醫師以</w:t>
      </w:r>
      <w:r>
        <w:rPr>
          <w:color w:val="000000"/>
          <w:sz w:val="28"/>
          <w:szCs w:val="28"/>
        </w:rPr>
        <w:t>A</w:t>
      </w:r>
      <w:r>
        <w:rPr>
          <w:color w:val="000000"/>
          <w:sz w:val="28"/>
          <w:szCs w:val="28"/>
        </w:rPr>
        <w:t>報</w:t>
      </w:r>
      <w:r>
        <w:rPr>
          <w:color w:val="000000"/>
          <w:sz w:val="28"/>
          <w:szCs w:val="28"/>
        </w:rPr>
        <w:t>B</w:t>
      </w:r>
      <w:r>
        <w:rPr>
          <w:color w:val="000000"/>
          <w:sz w:val="28"/>
          <w:szCs w:val="28"/>
        </w:rPr>
        <w:t>者均不予支付，且不得申復，但重大行政或系統問題所致者，由保險人衡酌處理，且同院所一年不得超過一次。</w:t>
      </w:r>
    </w:p>
    <w:p>
      <w:pPr>
        <w:pStyle w:val="Normal"/>
        <w:spacing w:lineRule="exact" w:line="440"/>
        <w:ind w:hanging="473" w:left="823" w:right="0"/>
        <w:jc w:val="both"/>
        <w:rPr>
          <w:color w:val="000000"/>
          <w:sz w:val="28"/>
          <w:szCs w:val="28"/>
        </w:rPr>
      </w:pPr>
      <w:r>
        <w:rPr>
          <w:color w:val="000000"/>
          <w:sz w:val="28"/>
          <w:szCs w:val="28"/>
        </w:rPr>
        <w:t>(</w:t>
      </w:r>
      <w:r>
        <w:rPr>
          <w:color w:val="000000"/>
          <w:sz w:val="28"/>
          <w:szCs w:val="28"/>
        </w:rPr>
        <w:t>二</w:t>
      </w:r>
      <w:r>
        <w:rPr>
          <w:color w:val="000000"/>
          <w:sz w:val="28"/>
          <w:szCs w:val="28"/>
        </w:rPr>
        <w:t>)</w:t>
      </w:r>
      <w:r>
        <w:rPr>
          <w:color w:val="000000"/>
          <w:sz w:val="28"/>
          <w:szCs w:val="28"/>
        </w:rPr>
        <w:t>前開醫師折付上限總點數，按該醫師在多處院所申報醫療費用比例，計算該醫師在某院所之折付上限點數。</w:t>
      </w:r>
    </w:p>
    <w:p>
      <w:pPr>
        <w:pStyle w:val="Normal"/>
        <w:spacing w:lineRule="exact" w:line="440"/>
        <w:ind w:hanging="473" w:left="823" w:right="0"/>
        <w:jc w:val="both"/>
        <w:rPr>
          <w:color w:val="000000"/>
          <w:sz w:val="28"/>
          <w:szCs w:val="28"/>
        </w:rPr>
      </w:pPr>
      <w:r>
        <w:rPr>
          <w:color w:val="000000"/>
          <w:sz w:val="28"/>
          <w:szCs w:val="28"/>
        </w:rPr>
        <w:t>(</w:t>
      </w:r>
      <w:r>
        <w:rPr>
          <w:color w:val="000000"/>
          <w:sz w:val="28"/>
          <w:szCs w:val="28"/>
        </w:rPr>
        <w:t>三</w:t>
      </w:r>
      <w:r>
        <w:rPr>
          <w:color w:val="000000"/>
          <w:sz w:val="28"/>
          <w:szCs w:val="28"/>
        </w:rPr>
        <w:t>)</w:t>
      </w:r>
      <w:r>
        <w:rPr>
          <w:color w:val="000000"/>
          <w:sz w:val="28"/>
          <w:szCs w:val="28"/>
        </w:rPr>
        <w:t>計算各西醫基層院所各醫師合計折付點數上限</w:t>
      </w:r>
      <w:r>
        <w:rPr>
          <w:color w:val="000000"/>
          <w:sz w:val="28"/>
          <w:szCs w:val="28"/>
        </w:rPr>
        <w:t>(=</w:t>
      </w:r>
      <w:r>
        <w:rPr>
          <w:color w:val="000000"/>
          <w:sz w:val="28"/>
          <w:szCs w:val="28"/>
        </w:rPr>
        <w:t>所有西醫基層院所及醫師折付上限點數合計</w:t>
      </w:r>
      <w:r>
        <w:rPr>
          <w:color w:val="000000"/>
          <w:sz w:val="28"/>
          <w:szCs w:val="28"/>
        </w:rPr>
        <w:t>+</w:t>
      </w:r>
      <w:r>
        <w:rPr>
          <w:color w:val="000000"/>
          <w:sz w:val="28"/>
          <w:szCs w:val="28"/>
        </w:rPr>
        <w:t>排除項目費用點數</w:t>
      </w:r>
      <w:r>
        <w:rPr>
          <w:color w:val="000000"/>
          <w:sz w:val="28"/>
          <w:szCs w:val="28"/>
        </w:rPr>
        <w:t>)</w:t>
      </w:r>
      <w:r>
        <w:rPr>
          <w:color w:val="000000"/>
          <w:sz w:val="28"/>
          <w:szCs w:val="28"/>
        </w:rPr>
        <w:t>。該院所審查核付點數如大於折付點數上限，按折付點數上限核給費用；如小於折付點數上限，按核付點數核給費用。</w:t>
      </w:r>
    </w:p>
    <w:p>
      <w:pPr>
        <w:pStyle w:val="Normal"/>
        <w:spacing w:lineRule="exact" w:line="440"/>
        <w:ind w:hanging="574" w:left="574" w:right="0"/>
        <w:jc w:val="both"/>
        <w:rPr>
          <w:color w:val="000000"/>
          <w:sz w:val="28"/>
          <w:szCs w:val="28"/>
        </w:rPr>
      </w:pPr>
      <w:r>
        <w:rPr>
          <w:color w:val="000000"/>
          <w:sz w:val="28"/>
          <w:szCs w:val="28"/>
        </w:rPr>
        <w:t>四、核付院所費用後，若有申復，致使審查補付點數加原核定點數大於折付點數上限時，以折付點數上限為給付限額。</w:t>
      </w:r>
    </w:p>
    <w:p>
      <w:pPr>
        <w:pStyle w:val="Normal"/>
        <w:spacing w:lineRule="exact" w:line="440"/>
        <w:ind w:hanging="574" w:left="574" w:right="0"/>
        <w:jc w:val="both"/>
        <w:rPr>
          <w:color w:val="000000"/>
          <w:sz w:val="28"/>
          <w:szCs w:val="28"/>
        </w:rPr>
      </w:pPr>
      <w:r>
        <w:rPr>
          <w:color w:val="000000"/>
          <w:sz w:val="28"/>
          <w:szCs w:val="28"/>
        </w:rPr>
      </w:r>
    </w:p>
    <w:p>
      <w:pPr>
        <w:pStyle w:val="Normal"/>
        <w:spacing w:lineRule="exact" w:line="440"/>
        <w:ind w:hanging="574" w:left="574" w:right="0"/>
        <w:jc w:val="both"/>
        <w:rPr>
          <w:bCs/>
          <w:color w:val="000000"/>
          <w:sz w:val="28"/>
          <w:szCs w:val="28"/>
        </w:rPr>
      </w:pPr>
      <w:r>
        <w:rPr>
          <w:bCs/>
          <w:color w:val="000000"/>
          <w:sz w:val="28"/>
          <w:szCs w:val="28"/>
        </w:rPr>
      </w:r>
    </w:p>
    <w:p>
      <w:pPr>
        <w:pStyle w:val="Normal"/>
        <w:spacing w:lineRule="auto" w:line="240"/>
        <w:rPr>
          <w:bCs/>
          <w:color w:val="000000"/>
          <w:sz w:val="28"/>
          <w:szCs w:val="28"/>
        </w:rPr>
      </w:pPr>
      <w:r>
        <w:rPr>
          <w:bCs/>
          <w:color w:val="000000"/>
          <w:sz w:val="28"/>
          <w:szCs w:val="28"/>
        </w:rPr>
      </w:r>
    </w:p>
    <w:p>
      <w:pPr>
        <w:pStyle w:val="Normal"/>
        <w:spacing w:lineRule="auto" w:line="240"/>
        <w:rPr>
          <w:color w:val="000000"/>
        </w:rPr>
      </w:pPr>
      <w:r>
        <w:rPr>
          <w:color w:val="000000"/>
        </w:rPr>
      </w:r>
    </w:p>
    <w:p>
      <w:pPr>
        <w:pStyle w:val="Normal"/>
        <w:spacing w:lineRule="auto" w:line="240"/>
        <w:rPr>
          <w:color w:val="000000"/>
        </w:rPr>
      </w:pPr>
      <w:r>
        <w:rPr>
          <w:color w:val="000000"/>
        </w:rPr>
      </w:r>
    </w:p>
    <w:p>
      <w:pPr>
        <w:pStyle w:val="Normal"/>
        <w:spacing w:lineRule="auto" w:line="240"/>
        <w:rPr>
          <w:color w:val="000000"/>
        </w:rPr>
      </w:pPr>
      <w:r>
        <w:rPr>
          <w:color w:val="000000"/>
        </w:rPr>
      </w:r>
    </w:p>
    <w:sectPr>
      <w:headerReference w:type="default" r:id="rId2"/>
      <w:footerReference w:type="default" r:id="rId3"/>
      <w:type w:val="nextPage"/>
      <w:pgSz w:w="11906" w:h="16838"/>
      <w:pgMar w:left="1304" w:right="1304" w:gutter="0" w:header="851" w:top="1440" w:footer="992" w:bottom="1440"/>
      <w:pgNumType w:fmt="decimal"/>
      <w:formProt w:val="false"/>
      <w:textDirection w:val="lrTb"/>
      <w:docGrid w:type="default" w:linePitch="33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標楷體">
    <w:charset w:val="88"/>
    <w:family w:val="script"/>
    <w:pitch w:val="default"/>
  </w:font>
  <w:font w:name="Liberation Sans">
    <w:altName w:val="Arial"/>
    <w:charset w:val="01"/>
    <w:family w:val="swiss"/>
    <w:pitch w:val="variable"/>
  </w:font>
  <w:font w:name="全真楷書">
    <w:altName w:val="微軟正黑體"/>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r>
    <w:r>
      <w:rPr/>
      <w:t xml:space="preserve">        </w:t>
    </w:r>
    <w:r>
      <w:rPr/>
      <w:t xml:space="preserve">- </w:t>
    </w:r>
    <w:r>
      <w:rPr/>
      <w:t>第二部</w:t>
    </w:r>
    <w:r>
      <w:rPr>
        <w:rFonts w:eastAsia="Times New Roman"/>
      </w:rPr>
      <w:t xml:space="preserve"> </w:t>
    </w:r>
    <w:r>
      <w:rPr/>
      <w:t>-</w:t>
    </w:r>
    <w:r>
      <w:rPr/>
      <w:fldChar w:fldCharType="begin"/>
    </w:r>
    <w:r>
      <w:rPr/>
      <w:instrText xml:space="preserve"> PAGE </w:instrText>
    </w:r>
    <w:r>
      <w:rPr/>
      <w:fldChar w:fldCharType="separate"/>
    </w:r>
    <w:r>
      <w:rPr/>
      <w:t>2</w:t>
    </w:r>
    <w:r>
      <w:rPr/>
      <w:fldChar w:fldCharType="end"/>
    </w: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left"/>
      <w:pPr>
        <w:tabs>
          <w:tab w:val="num" w:pos="0"/>
        </w:tabs>
        <w:ind w:left="1066" w:hanging="726"/>
      </w:pPr>
      <w:rPr/>
    </w:lvl>
    <w:lvl w:ilvl="1">
      <w:start w:val="1"/>
      <w:numFmt w:val="taiwaneseCountingThousand"/>
      <w:suff w:val="nothing"/>
      <w:lvlText w:val="（%2）"/>
      <w:lvlJc w:val="left"/>
      <w:pPr>
        <w:tabs>
          <w:tab w:val="num" w:pos="0"/>
        </w:tabs>
        <w:ind w:left="1786" w:hanging="1077"/>
      </w:pPr>
      <w:rPr/>
    </w:lvl>
    <w:lvl w:ilvl="2">
      <w:start w:val="1"/>
      <w:numFmt w:val="decimalFullWidth"/>
      <w:suff w:val="nothing"/>
      <w:lvlText w:val="%3、"/>
      <w:lvlJc w:val="left"/>
      <w:pPr>
        <w:tabs>
          <w:tab w:val="num" w:pos="0"/>
        </w:tabs>
        <w:ind w:left="1786" w:hanging="726"/>
      </w:pPr>
      <w:rPr/>
    </w:lvl>
    <w:lvl w:ilvl="3">
      <w:start w:val="1"/>
      <w:numFmt w:val="decimalFullWidth"/>
      <w:suff w:val="nothing"/>
      <w:lvlText w:val="（%4）"/>
      <w:lvlJc w:val="left"/>
      <w:pPr>
        <w:tabs>
          <w:tab w:val="num" w:pos="0"/>
        </w:tabs>
        <w:ind w:left="2506" w:hanging="1088"/>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taiwaneseCountingThousand"/>
      <w:lvlText w:val="第%1部"/>
      <w:lvlJc w:val="left"/>
      <w:pPr>
        <w:tabs>
          <w:tab w:val="num" w:pos="1080"/>
        </w:tabs>
        <w:ind w:left="482" w:hanging="482"/>
      </w:pPr>
      <w:rPr>
        <w:sz w:val="40"/>
        <w:i w:val="false"/>
        <w:b w:val="false"/>
        <w:rFonts w:ascii="標楷體" w:hAnsi="標楷體" w:eastAsia="標楷體"/>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80"/>
  <w:autoHyphenation w:val="true"/>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spacing w:lineRule="atLeast" w:line="360"/>
      <w:textAlignment w:val="baseline"/>
    </w:pPr>
    <w:rPr>
      <w:rFonts w:ascii="Times New Roman" w:hAnsi="Times New Roman" w:eastAsia="標楷體" w:cs="Times New Roman"/>
      <w:color w:val="auto"/>
      <w:sz w:val="24"/>
      <w:szCs w:val="20"/>
      <w:lang w:val="en-US" w:eastAsia="zh-TW" w:bidi="ar-SA"/>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color w:val="000000"/>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rFonts w:ascii="標楷體" w:hAnsi="標楷體" w:eastAsia="標楷體"/>
      <w:b w:val="false"/>
      <w:i w:val="false"/>
      <w:sz w:val="40"/>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Style14">
    <w:name w:val="預設段落字型"/>
    <w:qFormat/>
    <w:rPr/>
  </w:style>
  <w:style w:type="character" w:styleId="PageNumber">
    <w:name w:val="Page Number"/>
    <w:basedOn w:val="Style14"/>
    <w:rPr/>
  </w:style>
  <w:style w:type="paragraph" w:styleId="Style15">
    <w:name w:val="標題"/>
    <w:basedOn w:val="Normal"/>
    <w:next w:val="BodyText"/>
    <w:qFormat/>
    <w:pPr>
      <w:keepNext w:val="true"/>
      <w:spacing w:before="240" w:after="120"/>
    </w:pPr>
    <w:rPr>
      <w:rFonts w:ascii="Liberation Sans" w:hAnsi="Liberation Sans" w:eastAsia="Noto Sans CJK TC" w:cs="Noto Sans CJK TC"/>
      <w:sz w:val="28"/>
      <w:szCs w:val="28"/>
    </w:rPr>
  </w:style>
  <w:style w:type="paragraph" w:styleId="BodyText">
    <w:name w:val="Body Text"/>
    <w:basedOn w:val="Normal"/>
    <w:pPr>
      <w:autoSpaceDE w:val="false"/>
      <w:spacing w:lineRule="auto" w:line="240"/>
      <w:textAlignment w:val="auto"/>
    </w:pPr>
    <w:rPr>
      <w:rFonts w:eastAsia="新細明體;PMingLiU"/>
      <w:color w:val="000000"/>
      <w:kern w:val="2"/>
    </w:rPr>
  </w:style>
  <w:style w:type="paragraph" w:styleId="List">
    <w:name w:val="List"/>
    <w:basedOn w:val="BodyText"/>
    <w:pPr/>
    <w:rPr>
      <w:rFonts w:cs="Noto Sans CJK TC"/>
    </w:rPr>
  </w:style>
  <w:style w:type="paragraph" w:styleId="Caption">
    <w:name w:val="Caption"/>
    <w:basedOn w:val="Normal"/>
    <w:qFormat/>
    <w:pPr>
      <w:suppressLineNumbers/>
      <w:spacing w:before="120" w:after="120"/>
    </w:pPr>
    <w:rPr>
      <w:rFonts w:cs="Noto Sans CJK TC"/>
      <w:i/>
      <w:iCs/>
      <w:sz w:val="24"/>
      <w:szCs w:val="24"/>
    </w:rPr>
  </w:style>
  <w:style w:type="paragraph" w:styleId="Style16">
    <w:name w:val="索引"/>
    <w:basedOn w:val="Normal"/>
    <w:qFormat/>
    <w:pPr>
      <w:suppressLineNumbers/>
    </w:pPr>
    <w:rPr>
      <w:rFonts w:cs="Noto Sans CJK TC"/>
    </w:rPr>
  </w:style>
  <w:style w:type="paragraph" w:styleId="BodyTextIndent">
    <w:name w:val="Body Text Indent"/>
    <w:basedOn w:val="Normal"/>
    <w:pPr>
      <w:autoSpaceDE w:val="false"/>
      <w:snapToGrid w:val="false"/>
      <w:spacing w:before="120" w:after="0"/>
      <w:ind w:hanging="284" w:left="284" w:right="0"/>
    </w:pPr>
    <w:rPr>
      <w:rFonts w:ascii="全真楷書;微軟正黑體" w:hAnsi="全真楷書;微軟正黑體" w:eastAsia="全真楷書;微軟正黑體"/>
      <w:color w:val="000000"/>
      <w:sz w:val="28"/>
    </w:rPr>
  </w:style>
  <w:style w:type="paragraph" w:styleId="2">
    <w:name w:val="本文縮排 2"/>
    <w:basedOn w:val="Normal"/>
    <w:qFormat/>
    <w:pPr>
      <w:autoSpaceDE w:val="false"/>
      <w:spacing w:lineRule="auto" w:line="240"/>
      <w:ind w:hanging="675" w:left="675" w:right="0"/>
    </w:pPr>
    <w:rPr>
      <w:rFonts w:eastAsia="全真楷書;微軟正黑體"/>
      <w:color w:val="000000"/>
    </w:rPr>
  </w:style>
  <w:style w:type="paragraph" w:styleId="3">
    <w:name w:val="本文縮排 3"/>
    <w:basedOn w:val="Normal"/>
    <w:qFormat/>
    <w:pPr>
      <w:autoSpaceDE w:val="false"/>
      <w:spacing w:lineRule="auto" w:line="240"/>
      <w:ind w:hanging="227" w:left="227" w:right="0"/>
    </w:pPr>
    <w:rPr>
      <w:rFonts w:eastAsia="全真楷書;微軟正黑體"/>
      <w:color w:val="000000"/>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Footer">
    <w:name w:val="Footer"/>
    <w:basedOn w:val="Normal"/>
    <w:pPr>
      <w:tabs>
        <w:tab w:val="clear" w:pos="480"/>
        <w:tab w:val="center" w:pos="4153" w:leader="none"/>
        <w:tab w:val="right" w:pos="8306" w:leader="none"/>
      </w:tabs>
      <w:snapToGrid w:val="false"/>
    </w:pPr>
    <w:rPr>
      <w:sz w:val="20"/>
    </w:rPr>
  </w:style>
  <w:style w:type="paragraph" w:styleId="Style17">
    <w:name w:val="部"/>
    <w:basedOn w:val="Normal"/>
    <w:qFormat/>
    <w:pPr>
      <w:numPr>
        <w:ilvl w:val="0"/>
        <w:numId w:val="2"/>
      </w:numPr>
      <w:autoSpaceDE w:val="false"/>
      <w:spacing w:lineRule="auto" w:line="240"/>
    </w:pPr>
    <w:rPr>
      <w:rFonts w:eastAsia="標楷體"/>
      <w:color w:val="000000"/>
      <w:sz w:val="40"/>
    </w:rPr>
  </w:style>
  <w:style w:type="paragraph" w:styleId="Header">
    <w:name w:val="Header"/>
    <w:basedOn w:val="Normal"/>
    <w:pPr>
      <w:tabs>
        <w:tab w:val="clear" w:pos="480"/>
        <w:tab w:val="center" w:pos="4153" w:leader="none"/>
        <w:tab w:val="right" w:pos="8306" w:leader="none"/>
      </w:tabs>
      <w:snapToGrid w:val="false"/>
    </w:pPr>
    <w:rPr>
      <w:sz w:val="20"/>
    </w:rPr>
  </w:style>
  <w:style w:type="paragraph" w:styleId="Style18">
    <w:name w:val="文件引導模式"/>
    <w:basedOn w:val="Normal"/>
    <w:qFormat/>
    <w:pPr>
      <w:shd w:fill="000080" w:val="clear"/>
    </w:pPr>
    <w:rPr>
      <w:rFonts w:ascii="Arial" w:hAnsi="Arial" w:eastAsia="新細明體;PMingLiU" w:cs="Arial"/>
    </w:rPr>
  </w:style>
  <w:style w:type="paragraph" w:styleId="Style19">
    <w:name w:val="說明１、"/>
    <w:basedOn w:val="Normal"/>
    <w:qFormat/>
    <w:pPr>
      <w:numPr>
        <w:ilvl w:val="0"/>
        <w:numId w:val="1"/>
      </w:numPr>
      <w:kinsoku w:val="false"/>
      <w:autoSpaceDE w:val="false"/>
      <w:spacing w:lineRule="exact" w:line="560"/>
      <w:textAlignment w:val="auto"/>
    </w:pPr>
    <w:rPr>
      <w:sz w:val="36"/>
    </w:rPr>
  </w:style>
  <w:style w:type="paragraph" w:styleId="Style20">
    <w:name w:val="說明（一）"/>
    <w:basedOn w:val="Normal"/>
    <w:qFormat/>
    <w:pPr>
      <w:numPr>
        <w:ilvl w:val="0"/>
        <w:numId w:val="1"/>
      </w:numPr>
      <w:kinsoku w:val="false"/>
      <w:autoSpaceDE w:val="false"/>
      <w:spacing w:lineRule="exact" w:line="560"/>
      <w:textAlignment w:val="auto"/>
    </w:pPr>
    <w:rPr>
      <w:sz w:val="36"/>
    </w:rPr>
  </w:style>
  <w:style w:type="paragraph" w:styleId="Style21">
    <w:name w:val="(一)"/>
    <w:basedOn w:val="BodyTextIndent"/>
    <w:qFormat/>
    <w:pPr>
      <w:autoSpaceDE w:val="true"/>
      <w:spacing w:lineRule="auto" w:line="240" w:before="0" w:after="0"/>
      <w:ind w:hanging="0" w:left="0" w:right="0"/>
      <w:jc w:val="both"/>
      <w:textAlignment w:val="auto"/>
    </w:pPr>
    <w:rPr>
      <w:rFonts w:ascii="標楷體" w:hAnsi="標楷體" w:eastAsia="標楷體"/>
      <w:color w:val="000000"/>
      <w:kern w:val="2"/>
      <w:szCs w:val="24"/>
    </w:rPr>
  </w:style>
  <w:style w:type="paragraph" w:styleId="Style22">
    <w:name w:val="說明（１）"/>
    <w:basedOn w:val="Normal"/>
    <w:qFormat/>
    <w:pPr>
      <w:kinsoku w:val="false"/>
      <w:spacing w:lineRule="exact" w:line="500"/>
      <w:ind w:hanging="958" w:left="2234" w:right="0"/>
      <w:jc w:val="both"/>
      <w:textAlignment w:val="auto"/>
    </w:pPr>
    <w:rPr>
      <w:sz w:val="32"/>
    </w:rPr>
  </w:style>
  <w:style w:type="paragraph" w:styleId="Style23">
    <w:name w:val="說明一、"/>
    <w:basedOn w:val="Normal"/>
    <w:qFormat/>
    <w:pPr>
      <w:numPr>
        <w:ilvl w:val="0"/>
        <w:numId w:val="1"/>
      </w:numPr>
      <w:kinsoku w:val="false"/>
      <w:spacing w:lineRule="exact" w:line="500"/>
      <w:ind w:hanging="641" w:left="952" w:right="0"/>
      <w:jc w:val="both"/>
      <w:textAlignment w:val="auto"/>
    </w:pPr>
    <w:rPr>
      <w:sz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2005-02-04T10:24:00Z</dcterms:created>
  <dc:creator>Win</dc:creator>
  <dc:description/>
  <cp:keywords/>
  <dc:language>zh-TW</dc:language>
  <cp:lastModifiedBy>蔡孟妤</cp:lastModifiedBy>
  <cp:lastPrinted>2014-02-07T10:22:00Z</cp:lastPrinted>
  <dcterms:modified xsi:type="dcterms:W3CDTF">2025-05-05T15:48:00Z</dcterms:modified>
  <cp:revision>72</cp:revision>
  <dc:subject/>
  <dc:title>Ｉ、西醫及牙醫</dc:title>
</cp:coreProperties>
</file>