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600" w:right="0"/>
        <w:rPr/>
      </w:pPr>
      <w:r>
        <w:rPr>
          <w:color w:val="000000"/>
          <w:sz w:val="32"/>
        </w:rPr>
        <w:t>第三節</w:t>
      </w:r>
      <w:r>
        <w:rPr>
          <w:rFonts w:eastAsia="Times New Roman"/>
          <w:color w:val="000000"/>
          <w:sz w:val="32"/>
        </w:rPr>
        <w:t xml:space="preserve"> </w:t>
      </w:r>
      <w:r>
        <w:rPr>
          <w:color w:val="000000"/>
          <w:sz w:val="32"/>
        </w:rPr>
        <w:t>注射</w:t>
      </w:r>
      <w:r>
        <w:rPr>
          <w:color w:val="000000"/>
          <w:sz w:val="32"/>
        </w:rPr>
        <w:t>Injection (39001-39026)</w:t>
      </w:r>
    </w:p>
    <w:p>
      <w:pPr>
        <w:pStyle w:val="Normal"/>
        <w:rPr>
          <w:color w:val="000000"/>
          <w:sz w:val="32"/>
        </w:rPr>
      </w:pPr>
      <w:r>
        <w:rPr>
          <w:color w:val="000000"/>
          <w:sz w:val="32"/>
        </w:rPr>
      </w:r>
    </w:p>
    <w:p>
      <w:pPr>
        <w:pStyle w:val="Normal"/>
        <w:autoSpaceDE w:val="false"/>
        <w:spacing w:lineRule="exact" w:line="320"/>
        <w:rPr>
          <w:color w:val="000000"/>
        </w:rPr>
      </w:pPr>
      <w:r>
        <w:rPr>
          <w:color w:val="000000"/>
        </w:rPr>
        <w:t>通則：</w:t>
      </w:r>
    </w:p>
    <w:p>
      <w:pPr>
        <w:pStyle w:val="Normal"/>
        <w:autoSpaceDE w:val="false"/>
        <w:spacing w:lineRule="exact" w:line="320"/>
        <w:ind w:hanging="480" w:left="480" w:right="0"/>
        <w:rPr>
          <w:color w:val="000000"/>
        </w:rPr>
      </w:pPr>
      <w:r>
        <w:rPr>
          <w:color w:val="000000"/>
        </w:rPr>
        <w:t>一、本節各診療項目所定點數包括各該項目之注射技術費及注射所用棉球、膠帶、</w:t>
      </w:r>
      <w:r>
        <w:rPr>
          <w:rFonts w:eastAsia="Times New Roman"/>
          <w:color w:val="000000"/>
        </w:rPr>
        <w:t xml:space="preserve"> </w:t>
      </w:r>
      <w:r>
        <w:rPr>
          <w:color w:val="000000"/>
        </w:rPr>
        <w:t>敷料等材料與器材之折舊費用。</w:t>
      </w:r>
    </w:p>
    <w:p>
      <w:pPr>
        <w:pStyle w:val="Normal"/>
        <w:autoSpaceDE w:val="false"/>
        <w:spacing w:lineRule="exact" w:line="320"/>
        <w:ind w:hanging="480" w:left="480" w:right="0"/>
        <w:rPr>
          <w:color w:val="000000"/>
        </w:rPr>
      </w:pPr>
      <w:r>
        <w:rPr>
          <w:color w:val="000000"/>
        </w:rPr>
        <w:t>二、對於被保險人施行之簡單注射，如皮下肌肉，小量靜脈注射及</w:t>
      </w:r>
      <w:r>
        <w:rPr>
          <w:rFonts w:eastAsia="Times New Roman"/>
          <w:color w:val="000000"/>
        </w:rPr>
        <w:t xml:space="preserve"> </w:t>
      </w:r>
      <w:r>
        <w:rPr>
          <w:color w:val="000000"/>
        </w:rPr>
        <w:t>IV Push</w:t>
      </w:r>
      <w:r>
        <w:rPr>
          <w:color w:val="000000"/>
        </w:rPr>
        <w:t>等，其注射技術費包括於門診診察費及住院病房費</w:t>
      </w:r>
      <w:r>
        <w:rPr>
          <w:color w:val="000000"/>
        </w:rPr>
        <w:t>(</w:t>
      </w:r>
      <w:r>
        <w:rPr>
          <w:color w:val="000000"/>
        </w:rPr>
        <w:t>含護理費</w:t>
      </w:r>
      <w:r>
        <w:rPr>
          <w:color w:val="000000"/>
        </w:rPr>
        <w:t>)</w:t>
      </w:r>
      <w:r>
        <w:rPr>
          <w:color w:val="000000"/>
        </w:rPr>
        <w:t>內，不另給付，但使用之塑膠空針等特殊材料另計。</w:t>
      </w:r>
    </w:p>
    <w:tbl>
      <w:tblPr>
        <w:tblW w:w="9235" w:type="dxa"/>
        <w:jc w:val="left"/>
        <w:tblInd w:w="148" w:type="dxa"/>
        <w:tblLayout w:type="fixed"/>
        <w:tblCellMar>
          <w:top w:w="0" w:type="dxa"/>
          <w:left w:w="28" w:type="dxa"/>
          <w:bottom w:w="0" w:type="dxa"/>
          <w:right w:w="28" w:type="dxa"/>
        </w:tblCellMar>
      </w:tblPr>
      <w:tblGrid>
        <w:gridCol w:w="960"/>
        <w:gridCol w:w="6236"/>
        <w:gridCol w:w="283"/>
        <w:gridCol w:w="283"/>
        <w:gridCol w:w="283"/>
        <w:gridCol w:w="283"/>
        <w:gridCol w:w="907"/>
      </w:tblGrid>
      <w:tr>
        <w:trPr>
          <w:tblHeader w:val="true"/>
        </w:trPr>
        <w:tc>
          <w:tcPr>
            <w:tcW w:w="96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診療項目</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基</w:t>
            </w:r>
          </w:p>
          <w:p>
            <w:pPr>
              <w:pStyle w:val="Normal"/>
              <w:autoSpaceDE w:val="false"/>
              <w:spacing w:lineRule="exact" w:line="320"/>
              <w:jc w:val="center"/>
              <w:rPr>
                <w:color w:val="000000"/>
              </w:rPr>
            </w:pPr>
            <w:r>
              <w:rPr>
                <w:color w:val="000000"/>
              </w:rPr>
              <w:t>層</w:t>
            </w:r>
          </w:p>
          <w:p>
            <w:pPr>
              <w:pStyle w:val="Normal"/>
              <w:autoSpaceDE w:val="false"/>
              <w:spacing w:lineRule="exact" w:line="320"/>
              <w:jc w:val="center"/>
              <w:rPr>
                <w:color w:val="000000"/>
              </w:rPr>
            </w:pPr>
            <w:r>
              <w:rPr>
                <w:color w:val="000000"/>
              </w:rPr>
              <w:t>院</w:t>
            </w:r>
          </w:p>
          <w:p>
            <w:pPr>
              <w:pStyle w:val="Normal"/>
              <w:autoSpaceDE w:val="false"/>
              <w:spacing w:lineRule="exact" w:line="320"/>
              <w:jc w:val="center"/>
              <w:rPr>
                <w:color w:val="000000"/>
              </w:rPr>
            </w:pPr>
            <w:r>
              <w:rPr>
                <w:color w:val="000000"/>
              </w:rPr>
              <w:t>所</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地</w:t>
            </w:r>
          </w:p>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域</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學</w:t>
            </w:r>
          </w:p>
          <w:p>
            <w:pPr>
              <w:pStyle w:val="Normal"/>
              <w:autoSpaceDE w:val="false"/>
              <w:spacing w:lineRule="exact" w:line="320"/>
              <w:jc w:val="center"/>
              <w:rPr>
                <w:color w:val="000000"/>
              </w:rPr>
            </w:pPr>
            <w:r>
              <w:rPr>
                <w:color w:val="000000"/>
              </w:rPr>
              <w:t>中</w:t>
            </w:r>
          </w:p>
          <w:p>
            <w:pPr>
              <w:pStyle w:val="Normal"/>
              <w:autoSpaceDE w:val="false"/>
              <w:spacing w:lineRule="exact" w:line="32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支</w:t>
            </w:r>
          </w:p>
          <w:p>
            <w:pPr>
              <w:pStyle w:val="Normal"/>
              <w:autoSpaceDE w:val="false"/>
              <w:spacing w:lineRule="exact" w:line="320"/>
              <w:jc w:val="center"/>
              <w:rPr>
                <w:color w:val="000000"/>
              </w:rPr>
            </w:pPr>
            <w:r>
              <w:rPr>
                <w:color w:val="000000"/>
              </w:rPr>
              <w:t>付</w:t>
            </w:r>
          </w:p>
          <w:p>
            <w:pPr>
              <w:pStyle w:val="Normal"/>
              <w:autoSpaceDE w:val="false"/>
              <w:spacing w:lineRule="exact" w:line="320"/>
              <w:jc w:val="center"/>
              <w:rPr>
                <w:color w:val="000000"/>
              </w:rPr>
            </w:pPr>
            <w:r>
              <w:rPr>
                <w:color w:val="000000"/>
              </w:rPr>
              <w:t>點</w:t>
            </w:r>
          </w:p>
          <w:p>
            <w:pPr>
              <w:pStyle w:val="Normal"/>
              <w:autoSpaceDE w:val="false"/>
              <w:spacing w:lineRule="exact" w:line="320"/>
              <w:jc w:val="center"/>
              <w:rPr>
                <w:color w:val="000000"/>
              </w:rPr>
            </w:pPr>
            <w:r>
              <w:rPr>
                <w:color w:val="000000"/>
              </w:rPr>
              <w:t>數</w:t>
            </w:r>
          </w:p>
        </w:tc>
      </w:tr>
      <w:tr>
        <w:trPr/>
        <w:tc>
          <w:tcPr>
            <w:tcW w:w="96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39001C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動脈注射</w:t>
            </w:r>
          </w:p>
          <w:p>
            <w:pPr>
              <w:pStyle w:val="Normal"/>
              <w:autoSpaceDE w:val="false"/>
              <w:spacing w:lineRule="exact" w:line="320"/>
              <w:rPr>
                <w:color w:val="000000"/>
              </w:rPr>
            </w:pPr>
            <w:r>
              <w:rPr>
                <w:color w:val="000000"/>
              </w:rPr>
              <w:t>Arterial injection</w:t>
            </w:r>
          </w:p>
          <w:p>
            <w:pPr>
              <w:pStyle w:val="Normal"/>
              <w:autoSpaceDE w:val="false"/>
              <w:spacing w:lineRule="exact" w:line="320"/>
              <w:ind w:hanging="435" w:left="435" w:right="0"/>
              <w:rPr>
                <w:color w:val="000000"/>
              </w:rPr>
            </w:pPr>
            <w:r>
              <w:rPr>
                <w:color w:val="000000"/>
              </w:rPr>
              <w:t>註：脛動脈，鎖骨下動脈，股動脈，前膊動脈，肺動脈起始部，大動脈弓，腹部動脈等深部動脈。</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20</w:t>
            </w:r>
          </w:p>
        </w:tc>
      </w:tr>
      <w:tr>
        <w:trPr>
          <w:trHeight w:val="397" w:hRule="atLeast"/>
        </w:trPr>
        <w:tc>
          <w:tcPr>
            <w:tcW w:w="96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39002C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內臟注射</w:t>
            </w:r>
          </w:p>
          <w:p>
            <w:pPr>
              <w:pStyle w:val="Normal"/>
              <w:autoSpaceDE w:val="false"/>
              <w:spacing w:lineRule="exact" w:line="320"/>
              <w:jc w:val="both"/>
              <w:rPr>
                <w:color w:val="000000"/>
              </w:rPr>
            </w:pPr>
            <w:r>
              <w:rPr>
                <w:color w:val="000000"/>
              </w:rPr>
              <w:t xml:space="preserve">Inner organs injection </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40</w:t>
            </w:r>
          </w:p>
        </w:tc>
      </w:tr>
      <w:tr>
        <w:trPr/>
        <w:tc>
          <w:tcPr>
            <w:tcW w:w="96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39003C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生物學藥劑注射</w:t>
            </w:r>
            <w:r>
              <w:rPr>
                <w:color w:val="000000"/>
              </w:rPr>
              <w:t>(</w:t>
            </w:r>
            <w:r>
              <w:rPr>
                <w:color w:val="000000"/>
              </w:rPr>
              <w:t>包括反應試驗注射</w:t>
            </w:r>
            <w:r>
              <w:rPr>
                <w:color w:val="000000"/>
              </w:rPr>
              <w:t>)</w:t>
            </w:r>
          </w:p>
          <w:p>
            <w:pPr>
              <w:pStyle w:val="Normal"/>
              <w:autoSpaceDE w:val="false"/>
              <w:spacing w:lineRule="exact" w:line="320"/>
              <w:rPr>
                <w:color w:val="000000"/>
              </w:rPr>
            </w:pPr>
            <w:r>
              <w:rPr>
                <w:color w:val="000000"/>
              </w:rPr>
              <w:t>Biological preparation injection</w:t>
            </w:r>
          </w:p>
          <w:p>
            <w:pPr>
              <w:pStyle w:val="Normal"/>
              <w:autoSpaceDE w:val="false"/>
              <w:spacing w:lineRule="exact" w:line="320"/>
              <w:rPr>
                <w:color w:val="000000"/>
              </w:rPr>
            </w:pPr>
            <w:r>
              <w:rPr>
                <w:color w:val="000000"/>
              </w:rPr>
              <w:t>註：限抗毒素或血清注射申報。</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20</w:t>
            </w:r>
          </w:p>
        </w:tc>
      </w:tr>
      <w:tr>
        <w:trPr/>
        <w:tc>
          <w:tcPr>
            <w:tcW w:w="96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39004C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pPr>
            <w:r>
              <w:rPr>
                <w:color w:val="000000"/>
              </w:rPr>
              <w:t>大量液體點滴注射</w:t>
            </w:r>
            <w:r>
              <w:rPr>
                <w:color w:val="000000"/>
              </w:rPr>
              <w:t>(</w:t>
            </w:r>
            <w:r>
              <w:rPr>
                <w:color w:val="000000"/>
              </w:rPr>
              <w:t>林格兒氏液，</w:t>
            </w:r>
            <w:r>
              <w:rPr>
                <w:color w:val="000000"/>
              </w:rPr>
              <w:t>Rock</w:t>
            </w:r>
            <w:r>
              <w:rPr>
                <w:color w:val="000000"/>
              </w:rPr>
              <w:t>液，生理食鹽水，葡萄糖液，果糖液或血液代用劑等</w:t>
            </w:r>
            <w:r>
              <w:rPr>
                <w:color w:val="000000"/>
              </w:rPr>
              <w:t>)</w:t>
            </w:r>
            <w:r>
              <w:rPr>
                <w:color w:val="000000"/>
              </w:rPr>
              <w:t>注射。</w:t>
            </w:r>
          </w:p>
          <w:p>
            <w:pPr>
              <w:pStyle w:val="Normal"/>
              <w:autoSpaceDE w:val="false"/>
              <w:spacing w:lineRule="exact" w:line="320"/>
              <w:rPr>
                <w:color w:val="000000"/>
              </w:rPr>
            </w:pPr>
            <w:r>
              <w:rPr>
                <w:color w:val="000000"/>
              </w:rPr>
              <w:t>IV drip</w:t>
            </w:r>
          </w:p>
          <w:p>
            <w:pPr>
              <w:pStyle w:val="Normal"/>
              <w:autoSpaceDE w:val="false"/>
              <w:spacing w:lineRule="exact" w:line="320"/>
              <w:ind w:hanging="675" w:left="675" w:right="0"/>
              <w:rPr>
                <w:color w:val="000000"/>
              </w:rPr>
            </w:pPr>
            <w:r>
              <w:rPr>
                <w:color w:val="000000"/>
              </w:rPr>
              <w:t>註：</w:t>
            </w:r>
            <w:r>
              <w:rPr>
                <w:color w:val="000000"/>
              </w:rPr>
              <w:t>1.</w:t>
            </w:r>
            <w:r>
              <w:rPr>
                <w:color w:val="000000"/>
              </w:rPr>
              <w:t>本款目指一次注入液達</w:t>
            </w:r>
            <w:r>
              <w:rPr>
                <w:color w:val="000000"/>
              </w:rPr>
              <w:t>100c.c.</w:t>
            </w:r>
            <w:r>
              <w:rPr>
                <w:color w:val="000000"/>
              </w:rPr>
              <w:t>以上者，惟未滿七歲病人不在此限。</w:t>
            </w:r>
          </w:p>
          <w:p>
            <w:pPr>
              <w:pStyle w:val="Normal"/>
              <w:autoSpaceDE w:val="false"/>
              <w:spacing w:lineRule="exact" w:line="320"/>
              <w:ind w:hanging="165" w:left="675" w:right="0"/>
              <w:rPr>
                <w:color w:val="000000"/>
              </w:rPr>
            </w:pPr>
            <w:r>
              <w:rPr>
                <w:color w:val="000000"/>
              </w:rPr>
              <w:t>2.</w:t>
            </w:r>
            <w:r>
              <w:rPr>
                <w:color w:val="000000"/>
              </w:rPr>
              <w:t>點滴注射以「次」計算，即每天連續點滴者，僅核付第一次注技術費，超過</w:t>
            </w:r>
            <w:r>
              <w:rPr>
                <w:color w:val="000000"/>
              </w:rPr>
              <w:t>500c.c.</w:t>
            </w:r>
            <w:r>
              <w:rPr>
                <w:color w:val="000000"/>
              </w:rPr>
              <w:t>以上無加算之規定。</w:t>
            </w:r>
          </w:p>
          <w:p>
            <w:pPr>
              <w:pStyle w:val="Normal"/>
              <w:autoSpaceDE w:val="false"/>
              <w:spacing w:lineRule="exact" w:line="320"/>
              <w:ind w:hanging="165" w:left="675" w:right="0"/>
              <w:rPr>
                <w:color w:val="000000"/>
              </w:rPr>
            </w:pPr>
            <w:r>
              <w:rPr>
                <w:color w:val="000000"/>
              </w:rPr>
              <w:t>3.</w:t>
            </w:r>
            <w:r>
              <w:rPr>
                <w:color w:val="000000"/>
                <w:spacing w:val="-10"/>
              </w:rPr>
              <w:t>點滴注射外漏重打時，不得申報注射技術費。</w:t>
            </w:r>
          </w:p>
          <w:p>
            <w:pPr>
              <w:pStyle w:val="Normal"/>
              <w:autoSpaceDE w:val="false"/>
              <w:spacing w:lineRule="exact" w:line="320"/>
              <w:ind w:hanging="165" w:left="675" w:right="0"/>
              <w:rPr>
                <w:color w:val="000000"/>
              </w:rPr>
            </w:pPr>
            <w:r>
              <w:rPr>
                <w:color w:val="000000"/>
              </w:rPr>
              <w:t>4.</w:t>
            </w:r>
            <w:r>
              <w:rPr>
                <w:color w:val="000000"/>
              </w:rPr>
              <w:t>包括</w:t>
            </w:r>
            <w:r>
              <w:rPr>
                <w:color w:val="000000"/>
              </w:rPr>
              <w:t>IV set</w:t>
            </w:r>
            <w:r>
              <w:rPr>
                <w:color w:val="000000"/>
              </w:rPr>
              <w:t>在內。</w:t>
            </w:r>
          </w:p>
          <w:p>
            <w:pPr>
              <w:pStyle w:val="Normal"/>
              <w:autoSpaceDE w:val="false"/>
              <w:spacing w:lineRule="exact" w:line="320"/>
              <w:ind w:hanging="165" w:left="675" w:right="0"/>
              <w:rPr>
                <w:color w:val="000000"/>
              </w:rPr>
            </w:pPr>
            <w:r>
              <w:rPr>
                <w:color w:val="000000"/>
              </w:rPr>
              <w:t>5.</w:t>
            </w:r>
            <w:r>
              <w:rPr>
                <w:color w:val="000000"/>
              </w:rPr>
              <w:t>兒童加成項目。</w:t>
            </w:r>
          </w:p>
          <w:p>
            <w:pPr>
              <w:pStyle w:val="Normal"/>
              <w:autoSpaceDE w:val="false"/>
              <w:spacing w:lineRule="exact" w:line="320"/>
              <w:ind w:hanging="165" w:left="675" w:right="0"/>
              <w:rPr>
                <w:color w:val="000000"/>
              </w:rPr>
            </w:pPr>
            <w:r>
              <w:rPr>
                <w:color w:val="000000"/>
              </w:rPr>
              <w:t>6.</w:t>
            </w:r>
            <w:r>
              <w:rPr>
                <w:color w:val="000000"/>
              </w:rPr>
              <w:t>適應症：</w:t>
            </w:r>
          </w:p>
          <w:p>
            <w:pPr>
              <w:pStyle w:val="Normal"/>
              <w:autoSpaceDE w:val="false"/>
              <w:spacing w:lineRule="exact" w:line="320"/>
              <w:ind w:hanging="284" w:left="959" w:right="0"/>
              <w:rPr>
                <w:color w:val="000000"/>
              </w:rPr>
            </w:pPr>
            <w:r>
              <w:rPr>
                <w:color w:val="000000"/>
              </w:rPr>
              <w:t>(1)</w:t>
            </w:r>
            <w:r>
              <w:rPr>
                <w:color w:val="000000"/>
              </w:rPr>
              <w:t>恢復或維持液體。</w:t>
            </w:r>
          </w:p>
          <w:p>
            <w:pPr>
              <w:pStyle w:val="Normal"/>
              <w:autoSpaceDE w:val="false"/>
              <w:spacing w:lineRule="exact" w:line="320"/>
              <w:ind w:hanging="284" w:left="959" w:right="0"/>
              <w:rPr>
                <w:color w:val="000000"/>
              </w:rPr>
            </w:pPr>
            <w:r>
              <w:rPr>
                <w:color w:val="000000"/>
              </w:rPr>
              <w:t>(2)</w:t>
            </w:r>
            <w:r>
              <w:rPr>
                <w:color w:val="000000"/>
              </w:rPr>
              <w:t>恢復或維持電解質之平衡。</w:t>
            </w:r>
          </w:p>
          <w:p>
            <w:pPr>
              <w:pStyle w:val="Normal"/>
              <w:autoSpaceDE w:val="false"/>
              <w:spacing w:lineRule="exact" w:line="320"/>
              <w:ind w:hanging="284" w:left="959" w:right="0"/>
              <w:rPr>
                <w:color w:val="000000"/>
              </w:rPr>
            </w:pPr>
            <w:r>
              <w:rPr>
                <w:color w:val="000000"/>
              </w:rPr>
              <w:t>(3)</w:t>
            </w:r>
            <w:r>
              <w:rPr>
                <w:color w:val="000000"/>
              </w:rPr>
              <w:t>靜脈注射藥品。</w:t>
            </w:r>
          </w:p>
          <w:p>
            <w:pPr>
              <w:pStyle w:val="Normal"/>
              <w:autoSpaceDE w:val="false"/>
              <w:spacing w:lineRule="exact" w:line="320"/>
              <w:ind w:hanging="284" w:left="959" w:right="0"/>
              <w:rPr>
                <w:color w:val="000000"/>
              </w:rPr>
            </w:pPr>
            <w:r>
              <w:rPr>
                <w:color w:val="000000"/>
              </w:rPr>
              <w:t>(4)</w:t>
            </w:r>
            <w:r>
              <w:rPr>
                <w:color w:val="000000"/>
              </w:rPr>
              <w:t>提供病人營養之需要。</w:t>
            </w:r>
          </w:p>
          <w:p>
            <w:pPr>
              <w:pStyle w:val="Normal"/>
              <w:autoSpaceDE w:val="false"/>
              <w:spacing w:lineRule="exact" w:line="320"/>
              <w:ind w:hanging="284" w:left="959" w:right="0"/>
              <w:rPr>
                <w:color w:val="000000"/>
              </w:rPr>
            </w:pPr>
            <w:r>
              <w:rPr>
                <w:color w:val="000000"/>
              </w:rPr>
              <w:t>(5)</w:t>
            </w:r>
            <w:r>
              <w:rPr>
                <w:color w:val="000000"/>
                <w:spacing w:val="-10"/>
              </w:rPr>
              <w:t>為維持中央靜脈壓、動脈壓監視器維持量。</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75</w:t>
            </w:r>
          </w:p>
        </w:tc>
      </w:tr>
      <w:tr>
        <w:trPr>
          <w:trHeight w:val="397" w:hRule="atLeast"/>
        </w:trPr>
        <w:tc>
          <w:tcPr>
            <w:tcW w:w="96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39005C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關節腔內注射</w:t>
            </w:r>
          </w:p>
          <w:p>
            <w:pPr>
              <w:pStyle w:val="Normal"/>
              <w:autoSpaceDE w:val="false"/>
              <w:spacing w:lineRule="exact" w:line="320"/>
              <w:rPr/>
            </w:pPr>
            <w:r>
              <w:rPr>
                <w:color w:val="000000"/>
              </w:rPr>
              <w:t>Intraarticular injection</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135</w:t>
            </w:r>
          </w:p>
        </w:tc>
      </w:tr>
      <w:tr>
        <w:trPr>
          <w:trHeight w:val="397" w:hRule="atLeast"/>
        </w:trPr>
        <w:tc>
          <w:tcPr>
            <w:tcW w:w="96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39006C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結膜下注射</w:t>
            </w:r>
          </w:p>
          <w:p>
            <w:pPr>
              <w:pStyle w:val="Normal"/>
              <w:autoSpaceDE w:val="false"/>
              <w:spacing w:lineRule="exact" w:line="320"/>
              <w:rPr>
                <w:color w:val="000000"/>
              </w:rPr>
            </w:pPr>
            <w:r>
              <w:rPr>
                <w:color w:val="000000"/>
              </w:rPr>
              <w:t>Subconjunctival injection</w:t>
            </w:r>
          </w:p>
          <w:p>
            <w:pPr>
              <w:pStyle w:val="Normal"/>
              <w:autoSpaceDE w:val="false"/>
              <w:spacing w:lineRule="exact" w:line="320"/>
              <w:rPr>
                <w:color w:val="000000"/>
              </w:rPr>
            </w:pPr>
            <w:r>
              <w:rPr>
                <w:color w:val="000000"/>
              </w:rPr>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96</w:t>
            </w:r>
          </w:p>
        </w:tc>
      </w:tr>
      <w:tr>
        <w:trPr>
          <w:trHeight w:val="397" w:hRule="atLeast"/>
        </w:trPr>
        <w:tc>
          <w:tcPr>
            <w:tcW w:w="96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rPr>
                <w:color w:val="000000"/>
              </w:rPr>
            </w:pPr>
            <w:r>
              <w:rPr>
                <w:color w:val="000000"/>
              </w:rPr>
              <w:t>39008C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rPr>
                <w:color w:val="000000"/>
              </w:rPr>
            </w:pPr>
            <w:r>
              <w:rPr>
                <w:color w:val="000000"/>
              </w:rPr>
              <w:t>球後注射</w:t>
            </w:r>
          </w:p>
          <w:p>
            <w:pPr>
              <w:pStyle w:val="Normal"/>
              <w:autoSpaceDE w:val="false"/>
              <w:spacing w:lineRule="exact" w:line="310"/>
              <w:rPr>
                <w:color w:val="000000"/>
              </w:rPr>
            </w:pPr>
            <w:r>
              <w:rPr>
                <w:color w:val="000000"/>
              </w:rPr>
              <w:t>Retrobulbar injection</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right"/>
              <w:rPr>
                <w:color w:val="000000"/>
              </w:rPr>
            </w:pPr>
            <w:r>
              <w:rPr>
                <w:color w:val="000000"/>
              </w:rPr>
              <w:t>239</w:t>
            </w:r>
          </w:p>
        </w:tc>
      </w:tr>
      <w:tr>
        <w:trPr/>
        <w:tc>
          <w:tcPr>
            <w:tcW w:w="96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rPr>
                <w:color w:val="000000"/>
              </w:rPr>
            </w:pPr>
            <w:r>
              <w:rPr>
                <w:color w:val="000000"/>
              </w:rPr>
              <w:t>39009C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rPr>
                <w:color w:val="000000"/>
              </w:rPr>
            </w:pPr>
            <w:r>
              <w:rPr>
                <w:color w:val="000000"/>
              </w:rPr>
              <w:t xml:space="preserve">Peyronie's </w:t>
            </w:r>
            <w:r>
              <w:rPr>
                <w:color w:val="000000"/>
              </w:rPr>
              <w:t>病灶內注射</w:t>
            </w:r>
          </w:p>
          <w:p>
            <w:pPr>
              <w:pStyle w:val="Normal"/>
              <w:autoSpaceDE w:val="false"/>
              <w:spacing w:lineRule="exact" w:line="310"/>
              <w:rPr>
                <w:color w:val="000000"/>
              </w:rPr>
            </w:pPr>
            <w:r>
              <w:rPr>
                <w:color w:val="000000"/>
              </w:rPr>
              <w:t>Peyronie's intral-lesional injection</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right"/>
              <w:rPr>
                <w:color w:val="000000"/>
              </w:rPr>
            </w:pPr>
            <w:r>
              <w:rPr>
                <w:color w:val="000000"/>
              </w:rPr>
              <w:t>100</w:t>
            </w:r>
          </w:p>
        </w:tc>
      </w:tr>
      <w:tr>
        <w:trPr/>
        <w:tc>
          <w:tcPr>
            <w:tcW w:w="96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rPr>
                <w:color w:val="000000"/>
              </w:rPr>
            </w:pPr>
            <w:r>
              <w:rPr>
                <w:color w:val="000000"/>
              </w:rPr>
              <w:t>39010C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rPr>
                <w:color w:val="000000"/>
              </w:rPr>
            </w:pPr>
            <w:r>
              <w:rPr>
                <w:color w:val="000000"/>
              </w:rPr>
              <w:t>藥物敏感反應試驗</w:t>
            </w:r>
          </w:p>
          <w:p>
            <w:pPr>
              <w:pStyle w:val="Normal"/>
              <w:autoSpaceDE w:val="false"/>
              <w:spacing w:lineRule="exact" w:line="310"/>
              <w:rPr>
                <w:color w:val="000000"/>
              </w:rPr>
            </w:pPr>
            <w:r>
              <w:rPr>
                <w:color w:val="000000"/>
              </w:rPr>
              <w:t xml:space="preserve">(Cytomack test , penicillin test </w:t>
            </w:r>
            <w:r>
              <w:rPr>
                <w:color w:val="000000"/>
              </w:rPr>
              <w:t>等</w:t>
            </w:r>
            <w:r>
              <w:rPr>
                <w:color w:val="000000"/>
              </w:rPr>
              <w:t>)</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right"/>
              <w:rPr>
                <w:color w:val="000000"/>
              </w:rPr>
            </w:pPr>
            <w:r>
              <w:rPr>
                <w:color w:val="000000"/>
              </w:rPr>
              <w:t>30</w:t>
            </w:r>
          </w:p>
        </w:tc>
      </w:tr>
      <w:tr>
        <w:trPr>
          <w:trHeight w:val="340" w:hRule="atLeast"/>
        </w:trPr>
        <w:tc>
          <w:tcPr>
            <w:tcW w:w="960" w:type="dxa"/>
            <w:tcBorders>
              <w:top w:val="single" w:sz="6" w:space="0" w:color="000000"/>
              <w:left w:val="single" w:sz="6" w:space="0" w:color="000000"/>
              <w:right w:val="single" w:sz="6" w:space="0" w:color="000000"/>
            </w:tcBorders>
          </w:tcPr>
          <w:p>
            <w:pPr>
              <w:pStyle w:val="Normal"/>
              <w:autoSpaceDE w:val="false"/>
              <w:spacing w:lineRule="exact" w:line="310"/>
              <w:rPr>
                <w:color w:val="000000"/>
              </w:rPr>
            </w:pPr>
            <w:r>
              <w:rPr>
                <w:color w:val="000000"/>
              </w:rPr>
              <w:t>39011C</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10"/>
              <w:rPr>
                <w:color w:val="000000"/>
              </w:rPr>
            </w:pPr>
            <w:r>
              <w:rPr>
                <w:color w:val="000000"/>
              </w:rPr>
              <w:t>前房內注射</w:t>
            </w:r>
          </w:p>
          <w:p>
            <w:pPr>
              <w:pStyle w:val="Normal"/>
              <w:autoSpaceDE w:val="false"/>
              <w:spacing w:lineRule="exact" w:line="310"/>
              <w:rPr>
                <w:color w:val="000000"/>
              </w:rPr>
            </w:pPr>
            <w:r>
              <w:rPr>
                <w:color w:val="000000"/>
              </w:rPr>
              <w:t>Anerior chamber injection</w:t>
            </w:r>
          </w:p>
        </w:tc>
        <w:tc>
          <w:tcPr>
            <w:tcW w:w="283" w:type="dxa"/>
            <w:tcBorders>
              <w:top w:val="single" w:sz="6" w:space="0" w:color="000000"/>
              <w:left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283" w:type="dxa"/>
            <w:tcBorders>
              <w:top w:val="single" w:sz="6" w:space="0" w:color="000000"/>
              <w:left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283" w:type="dxa"/>
            <w:tcBorders>
              <w:top w:val="single" w:sz="6" w:space="0" w:color="000000"/>
              <w:left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283" w:type="dxa"/>
            <w:tcBorders>
              <w:top w:val="single" w:sz="6" w:space="0" w:color="000000"/>
              <w:left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spacing w:lineRule="exact" w:line="310"/>
              <w:jc w:val="right"/>
              <w:rPr>
                <w:color w:val="000000"/>
              </w:rPr>
            </w:pPr>
            <w:r>
              <w:rPr>
                <w:color w:val="000000"/>
              </w:rPr>
              <w:t>640</w:t>
            </w:r>
          </w:p>
        </w:tc>
      </w:tr>
      <w:tr>
        <w:trPr/>
        <w:tc>
          <w:tcPr>
            <w:tcW w:w="960" w:type="dxa"/>
            <w:tcBorders>
              <w:top w:val="single" w:sz="6" w:space="0" w:color="000000"/>
              <w:left w:val="single" w:sz="6" w:space="0" w:color="000000"/>
              <w:right w:val="single" w:sz="6" w:space="0" w:color="000000"/>
            </w:tcBorders>
          </w:tcPr>
          <w:p>
            <w:pPr>
              <w:pStyle w:val="Normal"/>
              <w:autoSpaceDE w:val="false"/>
              <w:snapToGrid w:val="false"/>
              <w:spacing w:lineRule="exact" w:line="31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10"/>
              <w:rPr>
                <w:color w:val="000000"/>
              </w:rPr>
            </w:pPr>
            <w:r>
              <w:rPr>
                <w:color w:val="000000"/>
              </w:rPr>
              <w:t>靜脈曲張注射療法</w:t>
            </w:r>
          </w:p>
          <w:p>
            <w:pPr>
              <w:pStyle w:val="Heading2"/>
              <w:spacing w:lineRule="exact" w:line="310"/>
              <w:ind w:hanging="0" w:left="0"/>
              <w:rPr>
                <w:rFonts w:eastAsia="標楷體"/>
                <w:u w:val="none"/>
              </w:rPr>
            </w:pPr>
            <w:r>
              <w:rPr>
                <w:rFonts w:eastAsia="標楷體"/>
                <w:u w:val="none"/>
              </w:rPr>
              <w:t>Injection of sclerosing solution, multiple veins</w:t>
            </w:r>
          </w:p>
        </w:tc>
        <w:tc>
          <w:tcPr>
            <w:tcW w:w="283" w:type="dxa"/>
            <w:tcBorders>
              <w:top w:val="single" w:sz="6" w:space="0" w:color="000000"/>
              <w:left w:val="single" w:sz="6" w:space="0" w:color="000000"/>
              <w:right w:val="single" w:sz="6" w:space="0" w:color="000000"/>
            </w:tcBorders>
          </w:tcPr>
          <w:p>
            <w:pPr>
              <w:pStyle w:val="Normal"/>
              <w:autoSpaceDE w:val="false"/>
              <w:snapToGrid w:val="false"/>
              <w:spacing w:lineRule="exact" w:line="310"/>
              <w:jc w:val="center"/>
              <w:rPr>
                <w:rFonts w:eastAsia="標楷體"/>
                <w:color w:val="000000"/>
                <w:u w:val="none"/>
              </w:rPr>
            </w:pPr>
            <w:r>
              <w:rPr>
                <w:rFonts w:eastAsia="標楷體"/>
                <w:color w:val="000000"/>
                <w:u w:val="none"/>
              </w:rPr>
            </w:r>
          </w:p>
        </w:tc>
        <w:tc>
          <w:tcPr>
            <w:tcW w:w="283" w:type="dxa"/>
            <w:tcBorders>
              <w:top w:val="single" w:sz="6" w:space="0" w:color="000000"/>
              <w:left w:val="single" w:sz="6" w:space="0" w:color="000000"/>
              <w:right w:val="single" w:sz="6" w:space="0" w:color="000000"/>
            </w:tcBorders>
          </w:tcPr>
          <w:p>
            <w:pPr>
              <w:pStyle w:val="Normal"/>
              <w:autoSpaceDE w:val="false"/>
              <w:snapToGrid w:val="false"/>
              <w:spacing w:lineRule="exact" w:line="310"/>
              <w:jc w:val="center"/>
              <w:rPr>
                <w:color w:val="000000"/>
              </w:rPr>
            </w:pPr>
            <w:r>
              <w:rPr>
                <w:color w:val="000000"/>
              </w:rPr>
            </w:r>
          </w:p>
        </w:tc>
        <w:tc>
          <w:tcPr>
            <w:tcW w:w="283" w:type="dxa"/>
            <w:tcBorders>
              <w:top w:val="single" w:sz="6" w:space="0" w:color="000000"/>
              <w:left w:val="single" w:sz="6" w:space="0" w:color="000000"/>
              <w:right w:val="single" w:sz="6" w:space="0" w:color="000000"/>
            </w:tcBorders>
          </w:tcPr>
          <w:p>
            <w:pPr>
              <w:pStyle w:val="Normal"/>
              <w:autoSpaceDE w:val="false"/>
              <w:snapToGrid w:val="false"/>
              <w:spacing w:lineRule="exact" w:line="310"/>
              <w:jc w:val="center"/>
              <w:rPr>
                <w:color w:val="000000"/>
              </w:rPr>
            </w:pPr>
            <w:r>
              <w:rPr>
                <w:color w:val="000000"/>
              </w:rPr>
            </w:r>
          </w:p>
        </w:tc>
        <w:tc>
          <w:tcPr>
            <w:tcW w:w="283" w:type="dxa"/>
            <w:tcBorders>
              <w:top w:val="single" w:sz="6" w:space="0" w:color="000000"/>
              <w:left w:val="single" w:sz="6" w:space="0" w:color="000000"/>
              <w:right w:val="single" w:sz="6" w:space="0" w:color="000000"/>
            </w:tcBorders>
          </w:tcPr>
          <w:p>
            <w:pPr>
              <w:pStyle w:val="Normal"/>
              <w:autoSpaceDE w:val="false"/>
              <w:snapToGrid w:val="false"/>
              <w:spacing w:lineRule="exact" w:line="31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10"/>
              <w:jc w:val="right"/>
              <w:rPr>
                <w:color w:val="000000"/>
              </w:rPr>
            </w:pPr>
            <w:r>
              <w:rPr>
                <w:color w:val="000000"/>
              </w:rPr>
            </w:r>
          </w:p>
        </w:tc>
      </w:tr>
      <w:tr>
        <w:trPr>
          <w:trHeight w:val="340" w:hRule="atLeast"/>
        </w:trPr>
        <w:tc>
          <w:tcPr>
            <w:tcW w:w="960" w:type="dxa"/>
            <w:tcBorders>
              <w:left w:val="single" w:sz="6" w:space="0" w:color="000000"/>
              <w:right w:val="single" w:sz="6" w:space="0" w:color="000000"/>
            </w:tcBorders>
          </w:tcPr>
          <w:p>
            <w:pPr>
              <w:pStyle w:val="Normal"/>
              <w:autoSpaceDE w:val="false"/>
              <w:spacing w:lineRule="exact" w:line="310"/>
              <w:rPr>
                <w:color w:val="000000"/>
              </w:rPr>
            </w:pPr>
            <w:r>
              <w:rPr>
                <w:color w:val="000000"/>
              </w:rPr>
              <w:t>39012C</w:t>
            </w:r>
          </w:p>
        </w:tc>
        <w:tc>
          <w:tcPr>
            <w:tcW w:w="6236" w:type="dxa"/>
            <w:tcBorders>
              <w:left w:val="single" w:sz="6" w:space="0" w:color="000000"/>
              <w:right w:val="single" w:sz="6" w:space="0" w:color="000000"/>
            </w:tcBorders>
          </w:tcPr>
          <w:p>
            <w:pPr>
              <w:pStyle w:val="Normal"/>
              <w:autoSpaceDE w:val="false"/>
              <w:spacing w:lineRule="exact" w:line="310"/>
              <w:rPr>
                <w:color w:val="000000"/>
              </w:rPr>
            </w:pPr>
            <w:r>
              <w:rPr>
                <w:color w:val="000000"/>
              </w:rPr>
              <w:t>－單腳</w:t>
            </w:r>
            <w:r>
              <w:rPr>
                <w:rFonts w:eastAsia="Times New Roman"/>
                <w:color w:val="000000"/>
              </w:rPr>
              <w:t xml:space="preserve"> </w:t>
            </w:r>
            <w:r>
              <w:rPr>
                <w:color w:val="000000"/>
              </w:rPr>
              <w:t>unilateral leg</w:t>
            </w:r>
          </w:p>
        </w:tc>
        <w:tc>
          <w:tcPr>
            <w:tcW w:w="283" w:type="dxa"/>
            <w:tcBorders>
              <w:left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10"/>
              <w:jc w:val="right"/>
              <w:rPr>
                <w:color w:val="000000"/>
              </w:rPr>
            </w:pPr>
            <w:r>
              <w:rPr>
                <w:color w:val="000000"/>
              </w:rPr>
              <w:t>421</w:t>
            </w:r>
          </w:p>
        </w:tc>
      </w:tr>
      <w:tr>
        <w:trPr>
          <w:trHeight w:val="340" w:hRule="atLeast"/>
        </w:trPr>
        <w:tc>
          <w:tcPr>
            <w:tcW w:w="960" w:type="dxa"/>
            <w:tcBorders>
              <w:left w:val="single" w:sz="6" w:space="0" w:color="000000"/>
              <w:right w:val="single" w:sz="6" w:space="0" w:color="000000"/>
            </w:tcBorders>
          </w:tcPr>
          <w:p>
            <w:pPr>
              <w:pStyle w:val="Normal"/>
              <w:autoSpaceDE w:val="false"/>
              <w:spacing w:lineRule="exact" w:line="310"/>
              <w:rPr>
                <w:color w:val="000000"/>
              </w:rPr>
            </w:pPr>
            <w:r>
              <w:rPr>
                <w:color w:val="000000"/>
              </w:rPr>
              <w:t>39013C</w:t>
            </w:r>
          </w:p>
        </w:tc>
        <w:tc>
          <w:tcPr>
            <w:tcW w:w="6236" w:type="dxa"/>
            <w:tcBorders>
              <w:left w:val="single" w:sz="6" w:space="0" w:color="000000"/>
              <w:right w:val="single" w:sz="6" w:space="0" w:color="000000"/>
            </w:tcBorders>
          </w:tcPr>
          <w:p>
            <w:pPr>
              <w:pStyle w:val="Normal"/>
              <w:autoSpaceDE w:val="false"/>
              <w:spacing w:lineRule="exact" w:line="310"/>
              <w:rPr>
                <w:color w:val="000000"/>
              </w:rPr>
            </w:pPr>
            <w:r>
              <w:rPr>
                <w:color w:val="000000"/>
              </w:rPr>
              <w:t>－雙腳</w:t>
            </w:r>
            <w:r>
              <w:rPr>
                <w:rFonts w:eastAsia="Times New Roman"/>
                <w:color w:val="000000"/>
              </w:rPr>
              <w:t xml:space="preserve"> </w:t>
            </w:r>
            <w:r>
              <w:rPr>
                <w:color w:val="000000"/>
              </w:rPr>
              <w:t>bilateral legs</w:t>
            </w:r>
          </w:p>
        </w:tc>
        <w:tc>
          <w:tcPr>
            <w:tcW w:w="283" w:type="dxa"/>
            <w:tcBorders>
              <w:left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10"/>
              <w:jc w:val="right"/>
              <w:rPr>
                <w:color w:val="000000"/>
              </w:rPr>
            </w:pPr>
            <w:r>
              <w:rPr>
                <w:color w:val="000000"/>
              </w:rPr>
              <w:t>483</w:t>
            </w:r>
          </w:p>
        </w:tc>
      </w:tr>
      <w:tr>
        <w:trPr/>
        <w:tc>
          <w:tcPr>
            <w:tcW w:w="960" w:type="dxa"/>
            <w:tcBorders>
              <w:left w:val="single" w:sz="6" w:space="0" w:color="000000"/>
              <w:bottom w:val="single" w:sz="6" w:space="0" w:color="000000"/>
              <w:right w:val="single" w:sz="6" w:space="0" w:color="000000"/>
            </w:tcBorders>
          </w:tcPr>
          <w:p>
            <w:pPr>
              <w:pStyle w:val="Normal"/>
              <w:autoSpaceDE w:val="false"/>
              <w:snapToGrid w:val="false"/>
              <w:spacing w:lineRule="exact" w:line="310"/>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widowControl/>
              <w:autoSpaceDE w:val="false"/>
              <w:spacing w:lineRule="exact" w:line="310"/>
              <w:rPr>
                <w:color w:val="000000"/>
              </w:rPr>
            </w:pPr>
            <w:r>
              <w:rPr>
                <w:color w:val="000000"/>
              </w:rPr>
              <w:t>註：</w:t>
            </w:r>
          </w:p>
          <w:p>
            <w:pPr>
              <w:pStyle w:val="Normal"/>
              <w:widowControl/>
              <w:autoSpaceDE w:val="false"/>
              <w:spacing w:lineRule="exact" w:line="310"/>
              <w:rPr>
                <w:color w:val="000000"/>
              </w:rPr>
            </w:pPr>
            <w:r>
              <w:rPr>
                <w:color w:val="000000"/>
              </w:rPr>
              <w:t>1.</w:t>
            </w:r>
            <w:r>
              <w:rPr>
                <w:color w:val="000000"/>
              </w:rPr>
              <w:t>包括藥費</w:t>
            </w:r>
            <w:r>
              <w:rPr>
                <w:rFonts w:eastAsia="Times New Roman"/>
                <w:color w:val="000000"/>
              </w:rPr>
              <w:t xml:space="preserve"> </w:t>
            </w:r>
            <w:r>
              <w:rPr>
                <w:color w:val="000000"/>
              </w:rPr>
              <w:t>including drug</w:t>
            </w:r>
            <w:r>
              <w:rPr>
                <w:color w:val="000000"/>
              </w:rPr>
              <w:t>。</w:t>
            </w:r>
          </w:p>
          <w:p>
            <w:pPr>
              <w:pStyle w:val="Normal"/>
              <w:autoSpaceDE w:val="false"/>
              <w:spacing w:lineRule="exact" w:line="310"/>
              <w:ind w:hanging="192" w:left="192" w:right="0"/>
              <w:rPr>
                <w:color w:val="000000"/>
              </w:rPr>
            </w:pPr>
            <w:r>
              <w:rPr>
                <w:color w:val="000000"/>
              </w:rPr>
              <w:t>2.</w:t>
            </w:r>
            <w:r>
              <w:rPr>
                <w:color w:val="000000"/>
              </w:rPr>
              <w:t>屬西醫基層總額部門院所，注射治療一年內</w:t>
            </w:r>
            <w:r>
              <w:rPr>
                <w:color w:val="000000"/>
              </w:rPr>
              <w:t>(</w:t>
            </w:r>
            <w:r>
              <w:rPr>
                <w:color w:val="000000"/>
              </w:rPr>
              <w:t>自第一次施行時間起算</w:t>
            </w:r>
            <w:r>
              <w:rPr>
                <w:color w:val="000000"/>
              </w:rPr>
              <w:t>)</w:t>
            </w:r>
            <w:r>
              <w:rPr>
                <w:color w:val="000000"/>
              </w:rPr>
              <w:t>，申報不得超過四次。</w:t>
            </w:r>
          </w:p>
        </w:tc>
        <w:tc>
          <w:tcPr>
            <w:tcW w:w="283" w:type="dxa"/>
            <w:tcBorders>
              <w:left w:val="single" w:sz="6" w:space="0" w:color="000000"/>
              <w:bottom w:val="single" w:sz="6" w:space="0" w:color="000000"/>
              <w:right w:val="single" w:sz="6" w:space="0" w:color="000000"/>
            </w:tcBorders>
          </w:tcPr>
          <w:p>
            <w:pPr>
              <w:pStyle w:val="Normal"/>
              <w:autoSpaceDE w:val="false"/>
              <w:snapToGrid w:val="false"/>
              <w:spacing w:lineRule="exact" w:line="310"/>
              <w:jc w:val="center"/>
              <w:rPr>
                <w:color w:val="000000"/>
              </w:rPr>
            </w:pPr>
            <w:r>
              <w:rPr>
                <w:color w:val="000000"/>
              </w:rPr>
            </w:r>
          </w:p>
        </w:tc>
        <w:tc>
          <w:tcPr>
            <w:tcW w:w="283" w:type="dxa"/>
            <w:tcBorders>
              <w:left w:val="single" w:sz="6" w:space="0" w:color="000000"/>
              <w:bottom w:val="single" w:sz="6" w:space="0" w:color="000000"/>
              <w:right w:val="single" w:sz="6" w:space="0" w:color="000000"/>
            </w:tcBorders>
          </w:tcPr>
          <w:p>
            <w:pPr>
              <w:pStyle w:val="Normal"/>
              <w:autoSpaceDE w:val="false"/>
              <w:snapToGrid w:val="false"/>
              <w:spacing w:lineRule="exact" w:line="310"/>
              <w:jc w:val="center"/>
              <w:rPr>
                <w:color w:val="000000"/>
              </w:rPr>
            </w:pPr>
            <w:r>
              <w:rPr>
                <w:color w:val="000000"/>
              </w:rPr>
            </w:r>
          </w:p>
        </w:tc>
        <w:tc>
          <w:tcPr>
            <w:tcW w:w="283" w:type="dxa"/>
            <w:tcBorders>
              <w:left w:val="single" w:sz="6" w:space="0" w:color="000000"/>
              <w:bottom w:val="single" w:sz="6" w:space="0" w:color="000000"/>
              <w:right w:val="single" w:sz="6" w:space="0" w:color="000000"/>
            </w:tcBorders>
          </w:tcPr>
          <w:p>
            <w:pPr>
              <w:pStyle w:val="Normal"/>
              <w:autoSpaceDE w:val="false"/>
              <w:snapToGrid w:val="false"/>
              <w:spacing w:lineRule="exact" w:line="310"/>
              <w:jc w:val="center"/>
              <w:rPr>
                <w:color w:val="000000"/>
              </w:rPr>
            </w:pPr>
            <w:r>
              <w:rPr>
                <w:color w:val="000000"/>
              </w:rPr>
            </w:r>
          </w:p>
        </w:tc>
        <w:tc>
          <w:tcPr>
            <w:tcW w:w="283" w:type="dxa"/>
            <w:tcBorders>
              <w:left w:val="single" w:sz="6" w:space="0" w:color="000000"/>
              <w:bottom w:val="single" w:sz="6" w:space="0" w:color="000000"/>
              <w:right w:val="single" w:sz="6" w:space="0" w:color="000000"/>
            </w:tcBorders>
          </w:tcPr>
          <w:p>
            <w:pPr>
              <w:pStyle w:val="Normal"/>
              <w:autoSpaceDE w:val="false"/>
              <w:snapToGrid w:val="false"/>
              <w:spacing w:lineRule="exact" w:line="310"/>
              <w:jc w:val="center"/>
              <w:rPr>
                <w:color w:val="000000"/>
              </w:rPr>
            </w:pPr>
            <w:r>
              <w:rPr>
                <w:color w:val="000000"/>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10"/>
              <w:jc w:val="right"/>
              <w:rPr>
                <w:color w:val="000000"/>
              </w:rPr>
            </w:pPr>
            <w:r>
              <w:rPr>
                <w:color w:val="000000"/>
              </w:rPr>
            </w:r>
          </w:p>
        </w:tc>
      </w:tr>
      <w:tr>
        <w:trPr>
          <w:trHeight w:val="340" w:hRule="atLeast"/>
        </w:trPr>
        <w:tc>
          <w:tcPr>
            <w:tcW w:w="96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both"/>
              <w:rPr>
                <w:color w:val="000000"/>
              </w:rPr>
            </w:pPr>
            <w:r>
              <w:rPr>
                <w:color w:val="000000"/>
              </w:rPr>
              <w:t>39014C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10"/>
              <w:jc w:val="both"/>
              <w:rPr>
                <w:color w:val="000000"/>
              </w:rPr>
            </w:pPr>
            <w:r>
              <w:rPr>
                <w:color w:val="000000"/>
              </w:rPr>
              <w:t>自體血液注射</w:t>
            </w:r>
          </w:p>
          <w:p>
            <w:pPr>
              <w:pStyle w:val="Normal"/>
              <w:autoSpaceDE w:val="false"/>
              <w:spacing w:lineRule="exact" w:line="310"/>
              <w:jc w:val="both"/>
              <w:rPr>
                <w:color w:val="000000"/>
              </w:rPr>
            </w:pPr>
            <w:r>
              <w:rPr>
                <w:color w:val="000000"/>
              </w:rPr>
              <w:t>Autoblood injection</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1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1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1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1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10"/>
              <w:jc w:val="right"/>
              <w:rPr>
                <w:color w:val="000000"/>
              </w:rPr>
            </w:pPr>
            <w:r>
              <w:rPr>
                <w:color w:val="000000"/>
              </w:rPr>
              <w:t>40</w:t>
            </w:r>
          </w:p>
        </w:tc>
      </w:tr>
      <w:tr>
        <w:trPr/>
        <w:tc>
          <w:tcPr>
            <w:tcW w:w="96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both"/>
              <w:rPr>
                <w:color w:val="000000"/>
              </w:rPr>
            </w:pPr>
            <w:r>
              <w:rPr>
                <w:color w:val="000000"/>
              </w:rPr>
              <w:t>39015B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rPr>
                <w:color w:val="000000"/>
              </w:rPr>
            </w:pPr>
            <w:r>
              <w:rPr>
                <w:color w:val="000000"/>
              </w:rPr>
              <w:t>靜脈營養術</w:t>
            </w:r>
            <w:r>
              <w:rPr>
                <w:color w:val="000000"/>
              </w:rPr>
              <w:t>(</w:t>
            </w:r>
            <w:r>
              <w:rPr>
                <w:color w:val="000000"/>
              </w:rPr>
              <w:t>天</w:t>
            </w:r>
            <w:r>
              <w:rPr>
                <w:color w:val="000000"/>
              </w:rPr>
              <w:t xml:space="preserve">) </w:t>
            </w:r>
          </w:p>
          <w:p>
            <w:pPr>
              <w:pStyle w:val="Normal"/>
              <w:autoSpaceDE w:val="false"/>
              <w:spacing w:lineRule="exact" w:line="310"/>
              <w:rPr>
                <w:color w:val="000000"/>
              </w:rPr>
            </w:pPr>
            <w:r>
              <w:rPr>
                <w:color w:val="000000"/>
              </w:rPr>
              <w:t>T.P.N (total parenteral nutrition ,day)</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10"/>
              <w:jc w:val="center"/>
              <w:rPr>
                <w:color w:val="000000"/>
              </w:rPr>
            </w:pPr>
            <w:r>
              <w:rPr>
                <w:color w:val="000000"/>
              </w:rPr>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right"/>
              <w:rPr>
                <w:color w:val="000000"/>
              </w:rPr>
            </w:pPr>
            <w:r>
              <w:rPr>
                <w:color w:val="000000"/>
              </w:rPr>
              <w:t>90</w:t>
            </w:r>
          </w:p>
        </w:tc>
      </w:tr>
      <w:tr>
        <w:trPr>
          <w:trHeight w:val="340" w:hRule="atLeast"/>
        </w:trPr>
        <w:tc>
          <w:tcPr>
            <w:tcW w:w="96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both"/>
              <w:rPr>
                <w:color w:val="000000"/>
              </w:rPr>
            </w:pPr>
            <w:r>
              <w:rPr>
                <w:color w:val="000000"/>
              </w:rPr>
              <w:t>39016B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10"/>
              <w:jc w:val="both"/>
              <w:rPr>
                <w:color w:val="000000"/>
              </w:rPr>
            </w:pPr>
            <w:r>
              <w:rPr>
                <w:color w:val="000000"/>
              </w:rPr>
              <w:t>點滴幫浦</w:t>
            </w:r>
            <w:r>
              <w:rPr>
                <w:rFonts w:eastAsia="Times New Roman"/>
                <w:color w:val="000000"/>
              </w:rPr>
              <w:t xml:space="preserve"> </w:t>
            </w:r>
            <w:r>
              <w:rPr>
                <w:color w:val="000000"/>
              </w:rPr>
              <w:t>(</w:t>
            </w:r>
            <w:r>
              <w:rPr>
                <w:color w:val="000000"/>
              </w:rPr>
              <w:t>天</w:t>
            </w:r>
            <w:r>
              <w:rPr>
                <w:color w:val="000000"/>
              </w:rPr>
              <w:t xml:space="preserve">) </w:t>
            </w:r>
          </w:p>
          <w:p>
            <w:pPr>
              <w:pStyle w:val="Normal"/>
              <w:autoSpaceDE w:val="false"/>
              <w:spacing w:lineRule="exact" w:line="310"/>
              <w:jc w:val="both"/>
              <w:rPr>
                <w:color w:val="000000"/>
              </w:rPr>
            </w:pPr>
            <w:r>
              <w:rPr>
                <w:color w:val="000000"/>
              </w:rPr>
              <w:t>IV pump (day)</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10"/>
              <w:jc w:val="center"/>
              <w:rPr>
                <w:color w:val="000000"/>
              </w:rPr>
            </w:pPr>
            <w:r>
              <w:rPr>
                <w:color w:val="000000"/>
              </w:rPr>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1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1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1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10"/>
              <w:jc w:val="right"/>
              <w:rPr>
                <w:color w:val="000000"/>
              </w:rPr>
            </w:pPr>
            <w:r>
              <w:rPr>
                <w:color w:val="000000"/>
              </w:rPr>
              <w:t>150</w:t>
            </w:r>
          </w:p>
        </w:tc>
      </w:tr>
      <w:tr>
        <w:trPr>
          <w:trHeight w:val="340" w:hRule="atLeast"/>
        </w:trPr>
        <w:tc>
          <w:tcPr>
            <w:tcW w:w="96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both"/>
              <w:rPr>
                <w:color w:val="000000"/>
              </w:rPr>
            </w:pPr>
            <w:r>
              <w:rPr>
                <w:color w:val="000000"/>
              </w:rPr>
              <w:t>39017C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10"/>
              <w:jc w:val="both"/>
              <w:rPr>
                <w:color w:val="000000"/>
              </w:rPr>
            </w:pPr>
            <w:r>
              <w:rPr>
                <w:color w:val="000000"/>
              </w:rPr>
              <w:t>腎上腺素注射</w:t>
            </w:r>
          </w:p>
          <w:p>
            <w:pPr>
              <w:pStyle w:val="Normal"/>
              <w:autoSpaceDE w:val="false"/>
              <w:spacing w:lineRule="exact" w:line="310"/>
              <w:jc w:val="both"/>
              <w:rPr>
                <w:color w:val="000000"/>
              </w:rPr>
            </w:pPr>
            <w:r>
              <w:rPr>
                <w:color w:val="000000"/>
              </w:rPr>
              <w:t>Epinephrine injection</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1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1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1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1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10"/>
              <w:jc w:val="right"/>
              <w:rPr>
                <w:color w:val="000000"/>
              </w:rPr>
            </w:pPr>
            <w:r>
              <w:rPr>
                <w:color w:val="000000"/>
              </w:rPr>
              <w:t>90</w:t>
            </w:r>
          </w:p>
        </w:tc>
      </w:tr>
      <w:tr>
        <w:trPr>
          <w:trHeight w:val="340" w:hRule="atLeast"/>
        </w:trPr>
        <w:tc>
          <w:tcPr>
            <w:tcW w:w="96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both"/>
              <w:rPr>
                <w:color w:val="000000"/>
              </w:rPr>
            </w:pPr>
            <w:r>
              <w:rPr>
                <w:color w:val="000000"/>
              </w:rPr>
              <w:t>39018C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10"/>
              <w:jc w:val="both"/>
              <w:rPr>
                <w:color w:val="000000"/>
              </w:rPr>
            </w:pPr>
            <w:r>
              <w:rPr>
                <w:color w:val="000000"/>
              </w:rPr>
              <w:t>肌腱注射</w:t>
            </w:r>
          </w:p>
          <w:p>
            <w:pPr>
              <w:pStyle w:val="Normal"/>
              <w:autoSpaceDE w:val="false"/>
              <w:spacing w:lineRule="exact" w:line="310"/>
              <w:jc w:val="both"/>
              <w:rPr>
                <w:color w:val="000000"/>
              </w:rPr>
            </w:pPr>
            <w:r>
              <w:rPr>
                <w:color w:val="000000"/>
              </w:rPr>
              <w:t>Tendon injection</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1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1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1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1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10"/>
              <w:jc w:val="right"/>
              <w:rPr>
                <w:color w:val="000000"/>
              </w:rPr>
            </w:pPr>
            <w:r>
              <w:rPr>
                <w:color w:val="000000"/>
              </w:rPr>
              <w:t>135</w:t>
            </w:r>
          </w:p>
        </w:tc>
      </w:tr>
      <w:tr>
        <w:trPr>
          <w:trHeight w:val="964" w:hRule="atLeast"/>
        </w:trPr>
        <w:tc>
          <w:tcPr>
            <w:tcW w:w="96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rPr>
                <w:color w:val="000000"/>
              </w:rPr>
            </w:pPr>
            <w:r>
              <w:rPr>
                <w:color w:val="000000"/>
              </w:rPr>
              <w:t>39019B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rPr>
                <w:color w:val="000000"/>
              </w:rPr>
            </w:pPr>
            <w:r>
              <w:rPr>
                <w:color w:val="000000"/>
              </w:rPr>
              <w:t>經造影導管灌注射治療</w:t>
            </w:r>
            <w:r>
              <w:rPr>
                <w:rFonts w:eastAsia="Times New Roman"/>
                <w:color w:val="000000"/>
              </w:rPr>
              <w:t xml:space="preserve"> </w:t>
            </w:r>
            <w:r>
              <w:rPr>
                <w:color w:val="000000"/>
              </w:rPr>
              <w:t>(</w:t>
            </w:r>
            <w:r>
              <w:rPr>
                <w:color w:val="000000"/>
              </w:rPr>
              <w:t>天</w:t>
            </w:r>
            <w:r>
              <w:rPr>
                <w:color w:val="000000"/>
              </w:rPr>
              <w:t>)</w:t>
            </w:r>
          </w:p>
          <w:p>
            <w:pPr>
              <w:pStyle w:val="Normal"/>
              <w:autoSpaceDE w:val="false"/>
              <w:spacing w:lineRule="exact" w:line="310"/>
              <w:rPr>
                <w:color w:val="000000"/>
              </w:rPr>
            </w:pPr>
            <w:r>
              <w:rPr>
                <w:color w:val="000000"/>
              </w:rPr>
              <w:t>Transcatheter infusion therapy (day)</w:t>
            </w:r>
          </w:p>
          <w:p>
            <w:pPr>
              <w:pStyle w:val="Normal"/>
              <w:autoSpaceDE w:val="false"/>
              <w:spacing w:lineRule="exact" w:line="310"/>
              <w:rPr>
                <w:color w:val="000000"/>
              </w:rPr>
            </w:pPr>
            <w:r>
              <w:rPr>
                <w:color w:val="000000"/>
              </w:rPr>
              <w:t>註：包含點滴幫浦</w:t>
            </w:r>
            <w:r>
              <w:rPr>
                <w:rFonts w:eastAsia="Times New Roman"/>
                <w:color w:val="000000"/>
              </w:rPr>
              <w:t xml:space="preserve"> </w:t>
            </w:r>
            <w:r>
              <w:rPr>
                <w:color w:val="000000"/>
              </w:rPr>
              <w:t>IV pump</w:t>
            </w:r>
            <w:r>
              <w:rPr>
                <w:color w:val="000000"/>
              </w:rPr>
              <w:t>。</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10"/>
              <w:jc w:val="center"/>
              <w:rPr>
                <w:color w:val="000000"/>
              </w:rPr>
            </w:pPr>
            <w:r>
              <w:rPr>
                <w:color w:val="000000"/>
              </w:rPr>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right"/>
              <w:rPr>
                <w:color w:val="000000"/>
              </w:rPr>
            </w:pPr>
            <w:r>
              <w:rPr>
                <w:color w:val="000000"/>
              </w:rPr>
              <w:t>450</w:t>
            </w:r>
          </w:p>
        </w:tc>
      </w:tr>
      <w:tr>
        <w:trPr>
          <w:trHeight w:val="3221" w:hRule="atLeast"/>
        </w:trPr>
        <w:tc>
          <w:tcPr>
            <w:tcW w:w="96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39020B</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rPr/>
            </w:pPr>
            <w:r>
              <w:rPr>
                <w:color w:val="000000"/>
              </w:rPr>
              <w:t>肝腫瘤內</w:t>
            </w:r>
            <w:r>
              <w:rPr>
                <w:color w:val="000000"/>
                <w:szCs w:val="24"/>
              </w:rPr>
              <w:t>藥物</w:t>
            </w:r>
            <w:r>
              <w:rPr>
                <w:color w:val="000000"/>
              </w:rPr>
              <w:t>注射</w:t>
            </w:r>
          </w:p>
          <w:p>
            <w:pPr>
              <w:pStyle w:val="Normal"/>
              <w:autoSpaceDE w:val="false"/>
              <w:spacing w:lineRule="exact" w:line="320"/>
              <w:rPr>
                <w:color w:val="000000"/>
                <w:szCs w:val="24"/>
              </w:rPr>
            </w:pPr>
            <w:r>
              <w:rPr>
                <w:color w:val="000000"/>
                <w:szCs w:val="24"/>
              </w:rPr>
              <w:t>Percutaneous drug  injection therapy for liver tumor</w:t>
            </w:r>
          </w:p>
          <w:p>
            <w:pPr>
              <w:pStyle w:val="Normal"/>
              <w:autoSpaceDE w:val="false"/>
              <w:spacing w:lineRule="exact" w:line="320"/>
              <w:ind w:hanging="675" w:left="675" w:right="0"/>
              <w:rPr>
                <w:color w:val="000000"/>
              </w:rPr>
            </w:pPr>
            <w:r>
              <w:rPr>
                <w:color w:val="000000"/>
              </w:rPr>
              <w:t>註：</w:t>
            </w:r>
            <w:r>
              <w:rPr>
                <w:color w:val="000000"/>
              </w:rPr>
              <w:t>1.</w:t>
            </w:r>
            <w:r>
              <w:rPr>
                <w:color w:val="000000"/>
              </w:rPr>
              <w:t>本項費用已包括超音波檢查費、材料費、藥費及麻醉費。</w:t>
            </w:r>
          </w:p>
          <w:p>
            <w:pPr>
              <w:pStyle w:val="Normal"/>
              <w:autoSpaceDE w:val="false"/>
              <w:spacing w:lineRule="exact" w:line="320"/>
              <w:ind w:hanging="480" w:left="960" w:right="0"/>
              <w:rPr>
                <w:color w:val="000000"/>
              </w:rPr>
            </w:pPr>
            <w:r>
              <w:rPr>
                <w:color w:val="000000"/>
              </w:rPr>
              <w:t>2.</w:t>
            </w:r>
            <w:r>
              <w:rPr>
                <w:color w:val="000000"/>
              </w:rPr>
              <w:t>本項治療之適應症為：</w:t>
            </w:r>
          </w:p>
          <w:p>
            <w:pPr>
              <w:pStyle w:val="Normal"/>
              <w:autoSpaceDE w:val="false"/>
              <w:spacing w:lineRule="exact" w:line="320"/>
              <w:ind w:hanging="288" w:left="1008" w:right="0"/>
              <w:rPr>
                <w:color w:val="000000"/>
              </w:rPr>
            </w:pPr>
            <w:r>
              <w:rPr>
                <w:color w:val="000000"/>
              </w:rPr>
              <w:t>(1)</w:t>
            </w:r>
            <w:r>
              <w:rPr>
                <w:color w:val="000000"/>
              </w:rPr>
              <w:t>腫瘤小於三公分，數目少於四個之原發性肝細胞癌。</w:t>
            </w:r>
          </w:p>
          <w:p>
            <w:pPr>
              <w:pStyle w:val="Normal"/>
              <w:autoSpaceDE w:val="false"/>
              <w:spacing w:lineRule="exact" w:line="320"/>
              <w:ind w:hanging="288" w:left="1008" w:right="0"/>
              <w:rPr/>
            </w:pPr>
            <w:r>
              <w:rPr>
                <w:color w:val="000000"/>
              </w:rPr>
              <w:t>(2)</w:t>
            </w:r>
            <w:r>
              <w:rPr>
                <w:color w:val="000000"/>
              </w:rPr>
              <w:t>腫瘤大於三公分但小於八公分，合併血管阻塞術</w:t>
            </w:r>
            <w:r>
              <w:rPr>
                <w:color w:val="000000"/>
              </w:rPr>
              <w:t xml:space="preserve">(TAE) </w:t>
            </w:r>
            <w:r>
              <w:rPr>
                <w:color w:val="000000"/>
              </w:rPr>
              <w:t>治療。</w:t>
            </w:r>
          </w:p>
          <w:p>
            <w:pPr>
              <w:pStyle w:val="Normal"/>
              <w:autoSpaceDE w:val="false"/>
              <w:spacing w:lineRule="exact" w:line="320"/>
              <w:ind w:hanging="480" w:left="960" w:right="0"/>
              <w:rPr>
                <w:color w:val="000000"/>
              </w:rPr>
            </w:pPr>
            <w:r>
              <w:rPr>
                <w:color w:val="000000"/>
              </w:rPr>
              <w:t>3.</w:t>
            </w:r>
            <w:r>
              <w:rPr>
                <w:color w:val="000000"/>
              </w:rPr>
              <w:t>申報費用時請檢附治療後超音波照片備查。</w:t>
            </w:r>
          </w:p>
        </w:tc>
        <w:tc>
          <w:tcPr>
            <w:tcW w:w="283"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right"/>
              <w:rPr>
                <w:color w:val="000000"/>
              </w:rPr>
            </w:pPr>
            <w:r>
              <w:rPr>
                <w:color w:val="000000"/>
              </w:rPr>
              <w:t>2200</w:t>
            </w:r>
          </w:p>
        </w:tc>
      </w:tr>
      <w:tr>
        <w:trPr>
          <w:trHeight w:val="340" w:hRule="atLeast"/>
        </w:trPr>
        <w:tc>
          <w:tcPr>
            <w:tcW w:w="960" w:type="dxa"/>
            <w:tcBorders>
              <w:top w:val="single" w:sz="4" w:space="0" w:color="000000"/>
              <w:left w:val="single" w:sz="4" w:space="0" w:color="000000"/>
              <w:right w:val="single" w:sz="6" w:space="0" w:color="000000"/>
            </w:tcBorders>
          </w:tcPr>
          <w:p>
            <w:pPr>
              <w:pStyle w:val="Normal"/>
              <w:autoSpaceDE w:val="false"/>
              <w:snapToGrid w:val="false"/>
              <w:spacing w:lineRule="exact" w:line="340"/>
              <w:rPr>
                <w:strike/>
                <w:color w:val="000000"/>
              </w:rPr>
            </w:pPr>
            <w:r>
              <w:rPr>
                <w:strike/>
                <w:color w:val="000000"/>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340"/>
              <w:ind w:hanging="607" w:left="607" w:right="0"/>
              <w:rPr>
                <w:color w:val="000000"/>
              </w:rPr>
            </w:pPr>
            <w:r>
              <w:rPr>
                <w:color w:val="000000"/>
              </w:rPr>
              <w:t>居家注射排鐵劑幫浦</w:t>
            </w:r>
            <w:r>
              <w:rPr>
                <w:rFonts w:eastAsia="Times New Roman"/>
                <w:color w:val="000000"/>
              </w:rPr>
              <w:t xml:space="preserve"> </w:t>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exact" w:line="340"/>
              <w:jc w:val="center"/>
              <w:rPr>
                <w:strike/>
                <w:color w:val="000000"/>
              </w:rPr>
            </w:pPr>
            <w:r>
              <w:rPr>
                <w:strike/>
                <w:color w:val="000000"/>
              </w:rPr>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exact" w:line="340"/>
              <w:jc w:val="center"/>
              <w:rPr>
                <w:strike/>
                <w:color w:val="000000"/>
              </w:rPr>
            </w:pPr>
            <w:r>
              <w:rPr>
                <w:strike/>
                <w:color w:val="000000"/>
              </w:rPr>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exact" w:line="340"/>
              <w:jc w:val="center"/>
              <w:rPr>
                <w:strike/>
                <w:color w:val="000000"/>
              </w:rPr>
            </w:pPr>
            <w:r>
              <w:rPr>
                <w:strike/>
                <w:color w:val="000000"/>
              </w:rPr>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exact" w:line="340"/>
              <w:jc w:val="center"/>
              <w:rPr>
                <w:strike/>
                <w:color w:val="000000"/>
              </w:rPr>
            </w:pPr>
            <w:r>
              <w:rPr>
                <w:strike/>
                <w:color w:val="000000"/>
              </w:rPr>
            </w:r>
          </w:p>
        </w:tc>
        <w:tc>
          <w:tcPr>
            <w:tcW w:w="907" w:type="dxa"/>
            <w:tcBorders>
              <w:top w:val="single" w:sz="4" w:space="0" w:color="000000"/>
              <w:left w:val="single" w:sz="6" w:space="0" w:color="000000"/>
              <w:right w:val="single" w:sz="4" w:space="0" w:color="000000"/>
            </w:tcBorders>
          </w:tcPr>
          <w:p>
            <w:pPr>
              <w:pStyle w:val="Normal"/>
              <w:autoSpaceDE w:val="false"/>
              <w:snapToGrid w:val="false"/>
              <w:spacing w:lineRule="exact" w:line="340"/>
              <w:rPr>
                <w:strike/>
                <w:color w:val="000000"/>
              </w:rPr>
            </w:pPr>
            <w:r>
              <w:rPr>
                <w:strike/>
                <w:color w:val="000000"/>
              </w:rPr>
            </w:r>
          </w:p>
        </w:tc>
      </w:tr>
      <w:tr>
        <w:trPr>
          <w:trHeight w:val="340" w:hRule="atLeast"/>
        </w:trPr>
        <w:tc>
          <w:tcPr>
            <w:tcW w:w="960" w:type="dxa"/>
            <w:tcBorders>
              <w:left w:val="single" w:sz="4" w:space="0" w:color="000000"/>
              <w:right w:val="single" w:sz="6" w:space="0" w:color="000000"/>
            </w:tcBorders>
          </w:tcPr>
          <w:p>
            <w:pPr>
              <w:pStyle w:val="Normal"/>
              <w:autoSpaceDE w:val="false"/>
              <w:spacing w:lineRule="exact" w:line="340"/>
              <w:jc w:val="both"/>
              <w:rPr>
                <w:color w:val="000000"/>
              </w:rPr>
            </w:pPr>
            <w:r>
              <w:rPr>
                <w:color w:val="000000"/>
              </w:rPr>
              <w:t>39021B</w:t>
            </w:r>
          </w:p>
        </w:tc>
        <w:tc>
          <w:tcPr>
            <w:tcW w:w="6236" w:type="dxa"/>
            <w:tcBorders>
              <w:left w:val="single" w:sz="6" w:space="0" w:color="000000"/>
              <w:right w:val="single" w:sz="6" w:space="0" w:color="000000"/>
            </w:tcBorders>
            <w:vAlign w:val="center"/>
          </w:tcPr>
          <w:p>
            <w:pPr>
              <w:pStyle w:val="Normal"/>
              <w:autoSpaceDE w:val="false"/>
              <w:spacing w:lineRule="exact" w:line="340"/>
              <w:ind w:hanging="607" w:left="607" w:right="0"/>
              <w:jc w:val="both"/>
              <w:rPr>
                <w:color w:val="000000"/>
              </w:rPr>
            </w:pPr>
            <w:r>
              <w:rPr>
                <w:color w:val="000000"/>
              </w:rPr>
              <w:t>每日</w:t>
            </w:r>
          </w:p>
        </w:tc>
        <w:tc>
          <w:tcPr>
            <w:tcW w:w="283"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283"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40"/>
              <w:jc w:val="right"/>
              <w:rPr>
                <w:color w:val="000000"/>
              </w:rPr>
            </w:pPr>
            <w:r>
              <w:rPr>
                <w:color w:val="000000"/>
              </w:rPr>
              <w:t>45</w:t>
            </w:r>
          </w:p>
        </w:tc>
      </w:tr>
      <w:tr>
        <w:trPr>
          <w:trHeight w:val="340" w:hRule="atLeast"/>
        </w:trPr>
        <w:tc>
          <w:tcPr>
            <w:tcW w:w="960" w:type="dxa"/>
            <w:tcBorders>
              <w:left w:val="single" w:sz="6" w:space="0" w:color="000000"/>
              <w:right w:val="single" w:sz="6" w:space="0" w:color="000000"/>
            </w:tcBorders>
            <w:vAlign w:val="center"/>
          </w:tcPr>
          <w:p>
            <w:pPr>
              <w:pStyle w:val="Normal"/>
              <w:autoSpaceDE w:val="false"/>
              <w:spacing w:lineRule="exact" w:line="340"/>
              <w:jc w:val="both"/>
              <w:rPr>
                <w:color w:val="000000"/>
              </w:rPr>
            </w:pPr>
            <w:r>
              <w:rPr>
                <w:color w:val="000000"/>
              </w:rPr>
              <w:t>39022B</w:t>
            </w:r>
          </w:p>
        </w:tc>
        <w:tc>
          <w:tcPr>
            <w:tcW w:w="6236" w:type="dxa"/>
            <w:tcBorders>
              <w:left w:val="single" w:sz="6" w:space="0" w:color="000000"/>
              <w:right w:val="single" w:sz="6" w:space="0" w:color="000000"/>
            </w:tcBorders>
            <w:vAlign w:val="center"/>
          </w:tcPr>
          <w:p>
            <w:pPr>
              <w:pStyle w:val="Normal"/>
              <w:autoSpaceDE w:val="false"/>
              <w:spacing w:lineRule="exact" w:line="340"/>
              <w:ind w:hanging="607" w:left="607" w:right="0"/>
              <w:jc w:val="both"/>
              <w:rPr>
                <w:color w:val="000000"/>
              </w:rPr>
            </w:pPr>
            <w:r>
              <w:rPr>
                <w:color w:val="000000"/>
              </w:rPr>
              <w:t>每月</w:t>
            </w:r>
          </w:p>
        </w:tc>
        <w:tc>
          <w:tcPr>
            <w:tcW w:w="283"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283"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40"/>
              <w:jc w:val="right"/>
              <w:rPr>
                <w:color w:val="000000"/>
              </w:rPr>
            </w:pPr>
            <w:r>
              <w:rPr>
                <w:color w:val="000000"/>
              </w:rPr>
              <w:t>1080</w:t>
            </w:r>
          </w:p>
        </w:tc>
      </w:tr>
      <w:tr>
        <w:trPr>
          <w:trHeight w:val="345" w:hRule="atLeast"/>
        </w:trPr>
        <w:tc>
          <w:tcPr>
            <w:tcW w:w="960" w:type="dxa"/>
            <w:tcBorders>
              <w:left w:val="single" w:sz="6" w:space="0" w:color="000000"/>
              <w:bottom w:val="single" w:sz="6" w:space="0" w:color="000000"/>
              <w:right w:val="single" w:sz="6" w:space="0" w:color="000000"/>
            </w:tcBorders>
          </w:tcPr>
          <w:p>
            <w:pPr>
              <w:pStyle w:val="Normal"/>
              <w:autoSpaceDE w:val="false"/>
              <w:snapToGrid w:val="false"/>
              <w:spacing w:lineRule="exact" w:line="340"/>
              <w:jc w:val="both"/>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40" w:before="0" w:after="120"/>
              <w:jc w:val="both"/>
              <w:rPr>
                <w:color w:val="000000"/>
              </w:rPr>
            </w:pPr>
            <w:r>
              <w:rPr>
                <w:color w:val="000000"/>
              </w:rPr>
              <w:t>註：使用超過二十四日（含）者，依</w:t>
            </w:r>
            <w:r>
              <w:rPr>
                <w:color w:val="000000"/>
              </w:rPr>
              <w:t>39022B</w:t>
            </w:r>
            <w:r>
              <w:rPr>
                <w:color w:val="000000"/>
              </w:rPr>
              <w:t>計。</w:t>
            </w:r>
          </w:p>
        </w:tc>
        <w:tc>
          <w:tcPr>
            <w:tcW w:w="283" w:type="dxa"/>
            <w:tcBorders>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283" w:type="dxa"/>
            <w:tcBorders>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283" w:type="dxa"/>
            <w:tcBorders>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283" w:type="dxa"/>
            <w:tcBorders>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40"/>
              <w:jc w:val="right"/>
              <w:rPr>
                <w:color w:val="000000"/>
              </w:rPr>
            </w:pPr>
            <w:r>
              <w:rPr>
                <w:color w:val="000000"/>
              </w:rPr>
            </w:r>
          </w:p>
        </w:tc>
      </w:tr>
      <w:tr>
        <w:trPr>
          <w:trHeight w:val="680" w:hRule="atLeast"/>
        </w:trPr>
        <w:tc>
          <w:tcPr>
            <w:tcW w:w="96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39023B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ind w:hanging="607" w:left="607" w:right="0"/>
              <w:jc w:val="both"/>
              <w:rPr>
                <w:color w:val="000000"/>
              </w:rPr>
            </w:pPr>
            <w:r>
              <w:rPr>
                <w:color w:val="000000"/>
              </w:rPr>
              <w:t>肉毒桿菌素注射費</w:t>
            </w:r>
          </w:p>
          <w:p>
            <w:pPr>
              <w:pStyle w:val="Normal"/>
              <w:autoSpaceDE w:val="false"/>
              <w:spacing w:lineRule="exact" w:line="340"/>
              <w:ind w:hanging="607" w:left="607" w:right="0"/>
              <w:jc w:val="both"/>
              <w:rPr>
                <w:color w:val="000000"/>
              </w:rPr>
            </w:pPr>
            <w:r>
              <w:rPr>
                <w:color w:val="000000"/>
              </w:rPr>
              <w:t>Botolinum toxin local injection</w:t>
            </w:r>
          </w:p>
          <w:p>
            <w:pPr>
              <w:pStyle w:val="Normal"/>
              <w:autoSpaceDE w:val="false"/>
              <w:spacing w:lineRule="exact" w:line="340"/>
              <w:ind w:hanging="607" w:left="607" w:right="0"/>
              <w:jc w:val="both"/>
              <w:rPr>
                <w:color w:val="000000"/>
              </w:rPr>
            </w:pPr>
            <w:r>
              <w:rPr>
                <w:color w:val="000000"/>
              </w:rPr>
              <w:t>註：</w:t>
            </w:r>
          </w:p>
          <w:p>
            <w:pPr>
              <w:pStyle w:val="Normal"/>
              <w:autoSpaceDE w:val="false"/>
              <w:spacing w:lineRule="exact" w:line="340"/>
              <w:ind w:hanging="172" w:left="172" w:right="0"/>
              <w:jc w:val="both"/>
              <w:rPr>
                <w:color w:val="000000"/>
              </w:rPr>
            </w:pPr>
            <w:r>
              <w:rPr>
                <w:color w:val="000000"/>
              </w:rPr>
              <w:t>1.</w:t>
            </w:r>
            <w:r>
              <w:rPr>
                <w:color w:val="000000"/>
              </w:rPr>
              <w:t>下列適應症，每個注射點得申報一次注射費，每個療程申報之注射費上限如下：</w:t>
            </w:r>
          </w:p>
          <w:p>
            <w:pPr>
              <w:pStyle w:val="Normal"/>
              <w:autoSpaceDE w:val="false"/>
              <w:spacing w:lineRule="exact" w:line="340"/>
              <w:ind w:hanging="284" w:left="456" w:right="0"/>
              <w:jc w:val="both"/>
              <w:rPr>
                <w:color w:val="000000"/>
              </w:rPr>
            </w:pPr>
            <w:r>
              <w:rPr>
                <w:color w:val="000000"/>
              </w:rPr>
              <w:t>(1)</w:t>
            </w:r>
            <w:r>
              <w:rPr>
                <w:color w:val="000000"/>
              </w:rPr>
              <w:t>半面痙攣</w:t>
            </w:r>
            <w:r>
              <w:rPr>
                <w:color w:val="000000"/>
              </w:rPr>
              <w:t>(ICD-10-CM</w:t>
            </w:r>
            <w:r>
              <w:rPr>
                <w:color w:val="000000"/>
              </w:rPr>
              <w:t>：</w:t>
            </w:r>
            <w:r>
              <w:rPr>
                <w:color w:val="000000"/>
              </w:rPr>
              <w:t>G51.3)</w:t>
            </w:r>
            <w:r>
              <w:rPr>
                <w:color w:val="000000"/>
              </w:rPr>
              <w:t>：四點</w:t>
            </w:r>
            <w:r>
              <w:rPr>
                <w:color w:val="000000"/>
              </w:rPr>
              <w:t>(</w:t>
            </w:r>
            <w:r>
              <w:rPr>
                <w:color w:val="000000"/>
              </w:rPr>
              <w:t>次</w:t>
            </w:r>
            <w:r>
              <w:rPr>
                <w:color w:val="000000"/>
              </w:rPr>
              <w:t>)</w:t>
            </w:r>
            <w:r>
              <w:rPr>
                <w:color w:val="000000"/>
              </w:rPr>
              <w:t>。</w:t>
            </w:r>
          </w:p>
          <w:p>
            <w:pPr>
              <w:pStyle w:val="Normal"/>
              <w:autoSpaceDE w:val="false"/>
              <w:spacing w:lineRule="exact" w:line="340"/>
              <w:ind w:left="456" w:right="0"/>
              <w:jc w:val="both"/>
              <w:rPr>
                <w:color w:val="000000"/>
              </w:rPr>
            </w:pPr>
            <w:r>
              <w:rPr>
                <w:color w:val="000000"/>
              </w:rPr>
              <w:t>-ICD-10-CM(2023</w:t>
            </w:r>
            <w:r>
              <w:rPr>
                <w:color w:val="000000"/>
              </w:rPr>
              <w:t>年版</w:t>
            </w:r>
            <w:r>
              <w:rPr>
                <w:color w:val="000000"/>
              </w:rPr>
              <w:t>)</w:t>
            </w:r>
            <w:r>
              <w:rPr>
                <w:color w:val="000000"/>
              </w:rPr>
              <w:t>：</w:t>
            </w:r>
            <w:r>
              <w:rPr>
                <w:color w:val="000000"/>
              </w:rPr>
              <w:t>G51.31</w:t>
            </w:r>
            <w:r>
              <w:rPr>
                <w:color w:val="000000"/>
              </w:rPr>
              <w:t>、</w:t>
            </w:r>
            <w:r>
              <w:rPr>
                <w:color w:val="000000"/>
              </w:rPr>
              <w:t>G51.32</w:t>
            </w:r>
            <w:r>
              <w:rPr>
                <w:color w:val="000000"/>
              </w:rPr>
              <w:t>、</w:t>
            </w:r>
            <w:r>
              <w:rPr>
                <w:color w:val="000000"/>
              </w:rPr>
              <w:t>G51.33 (</w:t>
            </w:r>
            <w:r>
              <w:rPr>
                <w:color w:val="000000"/>
              </w:rPr>
              <w:t>自一百十四年一月一日起適用</w:t>
            </w:r>
            <w:r>
              <w:rPr>
                <w:color w:val="000000"/>
              </w:rPr>
              <w:t>)</w:t>
            </w:r>
            <w:r>
              <w:rPr>
                <w:color w:val="000000"/>
              </w:rPr>
              <w:t>。</w:t>
            </w:r>
          </w:p>
          <w:p>
            <w:pPr>
              <w:pStyle w:val="Normal"/>
              <w:autoSpaceDE w:val="false"/>
              <w:spacing w:lineRule="exact" w:line="340"/>
              <w:ind w:hanging="284" w:left="456" w:right="0"/>
              <w:jc w:val="both"/>
              <w:rPr>
                <w:color w:val="000000"/>
              </w:rPr>
            </w:pPr>
            <w:r>
              <w:rPr>
                <w:color w:val="000000"/>
              </w:rPr>
              <w:t>(2)</w:t>
            </w:r>
            <w:r>
              <w:rPr>
                <w:color w:val="000000"/>
              </w:rPr>
              <w:t>眼瞼痙攣</w:t>
            </w:r>
            <w:r>
              <w:rPr>
                <w:color w:val="000000"/>
              </w:rPr>
              <w:t>(ICD-10-CM</w:t>
            </w:r>
            <w:r>
              <w:rPr>
                <w:color w:val="000000"/>
              </w:rPr>
              <w:t>：</w:t>
            </w:r>
            <w:r>
              <w:rPr>
                <w:color w:val="000000"/>
              </w:rPr>
              <w:t>G24.5)</w:t>
            </w:r>
            <w:r>
              <w:rPr>
                <w:color w:val="000000"/>
              </w:rPr>
              <w:t>或口顎部肌張力不全</w:t>
            </w:r>
            <w:r>
              <w:rPr>
                <w:color w:val="000000"/>
              </w:rPr>
              <w:t>(ICD-10-CM</w:t>
            </w:r>
            <w:r>
              <w:rPr>
                <w:color w:val="000000"/>
              </w:rPr>
              <w:t>：</w:t>
            </w:r>
            <w:r>
              <w:rPr>
                <w:color w:val="000000"/>
              </w:rPr>
              <w:t>G24.4)</w:t>
            </w:r>
            <w:r>
              <w:rPr>
                <w:color w:val="000000"/>
              </w:rPr>
              <w:t>：六點</w:t>
            </w:r>
            <w:r>
              <w:rPr>
                <w:color w:val="000000"/>
              </w:rPr>
              <w:t>(</w:t>
            </w:r>
            <w:r>
              <w:rPr>
                <w:color w:val="000000"/>
              </w:rPr>
              <w:t>次</w:t>
            </w:r>
            <w:r>
              <w:rPr>
                <w:color w:val="000000"/>
              </w:rPr>
              <w:t>)</w:t>
            </w:r>
            <w:r>
              <w:rPr>
                <w:color w:val="000000"/>
              </w:rPr>
              <w:t>。</w:t>
            </w:r>
          </w:p>
          <w:p>
            <w:pPr>
              <w:pStyle w:val="Normal"/>
              <w:autoSpaceDE w:val="false"/>
              <w:spacing w:lineRule="exact" w:line="340"/>
              <w:ind w:hanging="284" w:left="456" w:right="0"/>
              <w:jc w:val="both"/>
              <w:rPr>
                <w:color w:val="000000"/>
              </w:rPr>
            </w:pPr>
            <w:r>
              <w:rPr>
                <w:color w:val="000000"/>
              </w:rPr>
              <w:t>(3)</w:t>
            </w:r>
            <w:r>
              <w:rPr>
                <w:color w:val="000000"/>
              </w:rPr>
              <w:t>斜頸症</w:t>
            </w:r>
            <w:r>
              <w:rPr>
                <w:color w:val="000000"/>
              </w:rPr>
              <w:t>(ICD-10-CM</w:t>
            </w:r>
            <w:r>
              <w:rPr>
                <w:color w:val="000000"/>
              </w:rPr>
              <w:t>：</w:t>
            </w:r>
            <w:r>
              <w:rPr>
                <w:color w:val="000000"/>
              </w:rPr>
              <w:t>G24.3</w:t>
            </w:r>
            <w:r>
              <w:rPr>
                <w:color w:val="000000"/>
              </w:rPr>
              <w:t>、</w:t>
            </w:r>
            <w:r>
              <w:rPr>
                <w:color w:val="000000"/>
              </w:rPr>
              <w:t>M43.6)</w:t>
            </w:r>
            <w:r>
              <w:rPr>
                <w:color w:val="000000"/>
              </w:rPr>
              <w:t>：八點</w:t>
            </w:r>
            <w:r>
              <w:rPr>
                <w:color w:val="000000"/>
              </w:rPr>
              <w:t>(</w:t>
            </w:r>
            <w:r>
              <w:rPr>
                <w:color w:val="000000"/>
              </w:rPr>
              <w:t>次</w:t>
            </w:r>
            <w:r>
              <w:rPr>
                <w:color w:val="000000"/>
              </w:rPr>
              <w:t>)</w:t>
            </w:r>
            <w:r>
              <w:rPr>
                <w:color w:val="000000"/>
              </w:rPr>
              <w:t>。</w:t>
            </w:r>
          </w:p>
          <w:p>
            <w:pPr>
              <w:pStyle w:val="Normal"/>
              <w:autoSpaceDE w:val="false"/>
              <w:spacing w:lineRule="exact" w:line="340"/>
              <w:ind w:hanging="284" w:left="456" w:right="0"/>
              <w:jc w:val="both"/>
              <w:rPr>
                <w:color w:val="000000"/>
              </w:rPr>
            </w:pPr>
            <w:r>
              <w:rPr>
                <w:color w:val="000000"/>
              </w:rPr>
              <w:t>(4)</w:t>
            </w:r>
            <w:r>
              <w:rPr>
                <w:color w:val="000000"/>
              </w:rPr>
              <w:t>眼瞼痙攣合併口顎部肌張力不全</w:t>
            </w:r>
            <w:r>
              <w:rPr>
                <w:color w:val="000000"/>
              </w:rPr>
              <w:t>(ICD-10-CM</w:t>
            </w:r>
            <w:r>
              <w:rPr>
                <w:color w:val="000000"/>
              </w:rPr>
              <w:t>：</w:t>
            </w:r>
            <w:r>
              <w:rPr>
                <w:color w:val="000000"/>
              </w:rPr>
              <w:t>G24.4</w:t>
            </w:r>
            <w:r>
              <w:rPr>
                <w:color w:val="000000"/>
              </w:rPr>
              <w:t>合併</w:t>
            </w:r>
            <w:r>
              <w:rPr>
                <w:color w:val="000000"/>
              </w:rPr>
              <w:t>G24.5)</w:t>
            </w:r>
            <w:r>
              <w:rPr>
                <w:color w:val="000000"/>
              </w:rPr>
              <w:t>或書寫性痙攣</w:t>
            </w:r>
            <w:r>
              <w:rPr>
                <w:color w:val="000000"/>
              </w:rPr>
              <w:t>(ICD-10-CM</w:t>
            </w:r>
            <w:r>
              <w:rPr>
                <w:color w:val="000000"/>
              </w:rPr>
              <w:t>：</w:t>
            </w:r>
            <w:r>
              <w:rPr>
                <w:color w:val="000000"/>
              </w:rPr>
              <w:t>G24.8)</w:t>
            </w:r>
            <w:r>
              <w:rPr>
                <w:color w:val="000000"/>
              </w:rPr>
              <w:t>：十二點</w:t>
            </w:r>
            <w:r>
              <w:rPr>
                <w:color w:val="000000"/>
              </w:rPr>
              <w:t>(</w:t>
            </w:r>
            <w:r>
              <w:rPr>
                <w:color w:val="000000"/>
              </w:rPr>
              <w:t>次</w:t>
            </w:r>
            <w:r>
              <w:rPr>
                <w:color w:val="000000"/>
              </w:rPr>
              <w:t>)</w:t>
            </w:r>
            <w:r>
              <w:rPr>
                <w:color w:val="000000"/>
              </w:rPr>
              <w:t>。</w:t>
            </w:r>
          </w:p>
          <w:p>
            <w:pPr>
              <w:pStyle w:val="Normal"/>
              <w:autoSpaceDE w:val="false"/>
              <w:spacing w:lineRule="exact" w:line="340"/>
              <w:ind w:hanging="607" w:left="607" w:right="0"/>
              <w:jc w:val="both"/>
              <w:rPr>
                <w:color w:val="000000"/>
              </w:rPr>
            </w:pPr>
            <w:r>
              <w:rPr>
                <w:color w:val="000000"/>
              </w:rPr>
              <w:t>2.</w:t>
            </w:r>
            <w:r>
              <w:rPr>
                <w:color w:val="000000"/>
              </w:rPr>
              <w:t>非上述任一適應症，僅可申報一次。</w:t>
            </w:r>
          </w:p>
          <w:p>
            <w:pPr>
              <w:pStyle w:val="Normal"/>
              <w:autoSpaceDE w:val="false"/>
              <w:spacing w:lineRule="exact" w:line="340"/>
              <w:ind w:hanging="607" w:left="607" w:right="0"/>
              <w:jc w:val="both"/>
              <w:rPr>
                <w:color w:val="000000"/>
              </w:rPr>
            </w:pPr>
            <w:r>
              <w:rPr>
                <w:color w:val="000000"/>
              </w:rPr>
              <w:t>3.</w:t>
            </w:r>
            <w:r>
              <w:rPr>
                <w:color w:val="000000"/>
              </w:rPr>
              <w:t>支付規範：</w:t>
            </w:r>
          </w:p>
          <w:p>
            <w:pPr>
              <w:pStyle w:val="Normal"/>
              <w:autoSpaceDE w:val="false"/>
              <w:spacing w:lineRule="exact" w:line="340"/>
              <w:ind w:hanging="284" w:left="456" w:right="0"/>
              <w:jc w:val="both"/>
              <w:rPr>
                <w:color w:val="000000"/>
              </w:rPr>
            </w:pPr>
            <w:r>
              <w:rPr>
                <w:color w:val="000000"/>
              </w:rPr>
              <w:t>(1)</w:t>
            </w:r>
            <w:r>
              <w:rPr>
                <w:color w:val="000000"/>
              </w:rPr>
              <w:t>需符合全民健康保險藥物給付項目及支付標準附件六藥品給付規定第一節神經系統藥物</w:t>
            </w:r>
            <w:r>
              <w:rPr>
                <w:color w:val="000000"/>
              </w:rPr>
              <w:t>1.6.2.Botulinum toxin type A-</w:t>
            </w:r>
            <w:r>
              <w:rPr>
                <w:color w:val="000000"/>
              </w:rPr>
              <w:t>使用於眼瞼痙攣或半面痙攣或局部肌張力不全症之使用條件。</w:t>
            </w:r>
          </w:p>
          <w:p>
            <w:pPr>
              <w:pStyle w:val="Normal"/>
              <w:autoSpaceDE w:val="false"/>
              <w:spacing w:lineRule="exact" w:line="340" w:before="0" w:after="120"/>
              <w:ind w:hanging="284" w:left="454" w:right="0"/>
              <w:jc w:val="both"/>
              <w:rPr>
                <w:color w:val="000000"/>
              </w:rPr>
            </w:pPr>
            <w:r>
              <w:rPr>
                <w:color w:val="000000"/>
              </w:rPr>
              <w:t>(2)</w:t>
            </w:r>
            <w:r>
              <w:rPr>
                <w:color w:val="000000"/>
              </w:rPr>
              <w:t>不得同時申報：</w:t>
            </w:r>
            <w:r>
              <w:rPr>
                <w:color w:val="000000"/>
              </w:rPr>
              <w:t>39026C</w:t>
            </w:r>
            <w:r>
              <w:rPr>
                <w:color w:val="000000"/>
              </w:rPr>
              <w:t>。</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200</w:t>
            </w:r>
          </w:p>
        </w:tc>
      </w:tr>
      <w:tr>
        <w:trPr/>
        <w:tc>
          <w:tcPr>
            <w:tcW w:w="96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39024B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ind w:hanging="607" w:left="607" w:right="0"/>
              <w:jc w:val="both"/>
              <w:rPr>
                <w:color w:val="000000"/>
              </w:rPr>
            </w:pPr>
            <w:r>
              <w:rPr>
                <w:color w:val="000000"/>
              </w:rPr>
              <w:t>激痛點注射調理</w:t>
            </w:r>
            <w:r>
              <w:rPr>
                <w:color w:val="000000"/>
              </w:rPr>
              <w:t>(</w:t>
            </w:r>
            <w:r>
              <w:rPr>
                <w:color w:val="000000"/>
              </w:rPr>
              <w:t>每一痛點</w:t>
            </w:r>
            <w:r>
              <w:rPr>
                <w:color w:val="000000"/>
              </w:rPr>
              <w:t>)</w:t>
            </w:r>
          </w:p>
          <w:p>
            <w:pPr>
              <w:pStyle w:val="Normal"/>
              <w:autoSpaceDE w:val="false"/>
              <w:spacing w:lineRule="exact" w:line="340"/>
              <w:ind w:hanging="607" w:left="607" w:right="0"/>
              <w:jc w:val="both"/>
              <w:rPr>
                <w:color w:val="000000"/>
              </w:rPr>
            </w:pPr>
            <w:r>
              <w:rPr>
                <w:color w:val="000000"/>
              </w:rPr>
              <w:t>Trigger point injection(one)</w:t>
            </w:r>
          </w:p>
          <w:p>
            <w:pPr>
              <w:pStyle w:val="Normal"/>
              <w:autoSpaceDE w:val="false"/>
              <w:spacing w:lineRule="exact" w:line="340"/>
              <w:ind w:hanging="494" w:left="494" w:right="0"/>
              <w:jc w:val="both"/>
              <w:rPr>
                <w:color w:val="000000"/>
              </w:rPr>
            </w:pPr>
            <w:r>
              <w:rPr>
                <w:color w:val="000000"/>
              </w:rPr>
              <w:t>註</w:t>
            </w:r>
            <w:r>
              <w:rPr>
                <w:color w:val="000000"/>
              </w:rPr>
              <w:t>:</w:t>
            </w:r>
          </w:p>
          <w:p>
            <w:pPr>
              <w:pStyle w:val="Normal"/>
              <w:autoSpaceDE w:val="false"/>
              <w:spacing w:lineRule="exact" w:line="340"/>
              <w:ind w:hanging="172" w:left="172" w:right="0"/>
              <w:jc w:val="both"/>
              <w:rPr>
                <w:color w:val="000000"/>
              </w:rPr>
            </w:pPr>
            <w:r>
              <w:rPr>
                <w:color w:val="000000"/>
              </w:rPr>
              <w:t>1.</w:t>
            </w:r>
            <w:r>
              <w:rPr>
                <w:color w:val="000000"/>
              </w:rPr>
              <w:t>每次門診注射以三點為限</w:t>
            </w:r>
            <w:r>
              <w:rPr>
                <w:color w:val="000000"/>
              </w:rPr>
              <w:t>(</w:t>
            </w:r>
            <w:r>
              <w:rPr>
                <w:color w:val="000000"/>
              </w:rPr>
              <w:t>三點以上以三點計</w:t>
            </w:r>
            <w:r>
              <w:rPr>
                <w:color w:val="000000"/>
              </w:rPr>
              <w:t>)</w:t>
            </w:r>
            <w:r>
              <w:rPr>
                <w:color w:val="000000"/>
              </w:rPr>
              <w:t>，每週至多注射一次，每一療程以三週為原則，每兩療程間隔至少兩個月。</w:t>
            </w:r>
          </w:p>
          <w:p>
            <w:pPr>
              <w:pStyle w:val="Normal"/>
              <w:autoSpaceDE w:val="false"/>
              <w:spacing w:lineRule="exact" w:line="340"/>
              <w:jc w:val="both"/>
              <w:rPr>
                <w:color w:val="000000"/>
              </w:rPr>
            </w:pPr>
            <w:r>
              <w:rPr>
                <w:color w:val="000000"/>
              </w:rPr>
              <w:t>2.</w:t>
            </w:r>
            <w:r>
              <w:rPr>
                <w:color w:val="000000"/>
              </w:rPr>
              <w:t>申報時須檢附病歷影本，並敘明︰</w:t>
            </w:r>
          </w:p>
          <w:p>
            <w:pPr>
              <w:pStyle w:val="Normal"/>
              <w:autoSpaceDE w:val="false"/>
              <w:spacing w:lineRule="exact" w:line="340"/>
              <w:ind w:hanging="284" w:left="456" w:right="0"/>
              <w:jc w:val="both"/>
              <w:rPr>
                <w:color w:val="000000"/>
              </w:rPr>
            </w:pPr>
            <w:r>
              <w:rPr>
                <w:color w:val="000000"/>
              </w:rPr>
              <w:t>(1)</w:t>
            </w:r>
            <w:r>
              <w:rPr>
                <w:color w:val="000000"/>
              </w:rPr>
              <w:t>激痛點注射</w:t>
            </w:r>
            <w:r>
              <w:rPr>
                <w:color w:val="000000"/>
              </w:rPr>
              <w:t>(Trigger point INJ.)</w:t>
            </w:r>
            <w:r>
              <w:rPr>
                <w:color w:val="000000"/>
              </w:rPr>
              <w:t>。</w:t>
            </w:r>
          </w:p>
          <w:p>
            <w:pPr>
              <w:pStyle w:val="Normal"/>
              <w:autoSpaceDE w:val="false"/>
              <w:spacing w:lineRule="exact" w:line="340"/>
              <w:ind w:hanging="284" w:left="456" w:right="0"/>
              <w:jc w:val="both"/>
              <w:rPr>
                <w:color w:val="000000"/>
              </w:rPr>
            </w:pPr>
            <w:r>
              <w:rPr>
                <w:color w:val="000000"/>
              </w:rPr>
              <w:t>(2)</w:t>
            </w:r>
            <w:r>
              <w:rPr>
                <w:color w:val="000000"/>
              </w:rPr>
              <w:t>患者曾接受之相關治療</w:t>
            </w:r>
            <w:r>
              <w:rPr>
                <w:color w:val="000000"/>
              </w:rPr>
              <w:t>(</w:t>
            </w:r>
            <w:r>
              <w:rPr>
                <w:color w:val="000000"/>
              </w:rPr>
              <w:t>如藥物、物理治療</w:t>
            </w:r>
            <w:r>
              <w:rPr>
                <w:color w:val="000000"/>
              </w:rPr>
              <w:t>)</w:t>
            </w:r>
            <w:r>
              <w:rPr>
                <w:color w:val="000000"/>
              </w:rPr>
              <w:t>。</w:t>
            </w:r>
          </w:p>
          <w:p>
            <w:pPr>
              <w:pStyle w:val="Normal"/>
              <w:autoSpaceDE w:val="false"/>
              <w:spacing w:lineRule="exact" w:line="340" w:before="0" w:after="240"/>
              <w:ind w:hanging="284" w:left="454" w:right="0"/>
              <w:jc w:val="both"/>
              <w:rPr>
                <w:color w:val="000000"/>
              </w:rPr>
            </w:pPr>
            <w:r>
              <w:rPr>
                <w:color w:val="000000"/>
              </w:rPr>
              <w:t>(3)</w:t>
            </w:r>
            <w:r>
              <w:rPr>
                <w:color w:val="000000"/>
              </w:rPr>
              <w:t>注射部位肌肉名稱。</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180</w:t>
            </w:r>
          </w:p>
        </w:tc>
      </w:tr>
      <w:tr>
        <w:trPr/>
        <w:tc>
          <w:tcPr>
            <w:tcW w:w="96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39025B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ind w:hanging="480" w:left="480" w:right="0"/>
              <w:jc w:val="both"/>
              <w:rPr>
                <w:color w:val="000000"/>
              </w:rPr>
            </w:pPr>
            <w:r>
              <w:rPr>
                <w:color w:val="000000"/>
              </w:rPr>
              <w:t>經皮甲狀腺腫瘤酒精注射</w:t>
            </w:r>
          </w:p>
          <w:p>
            <w:pPr>
              <w:pStyle w:val="Normal"/>
              <w:autoSpaceDE w:val="false"/>
              <w:spacing w:lineRule="exact" w:line="320"/>
              <w:ind w:hanging="480" w:left="480" w:right="0"/>
              <w:jc w:val="both"/>
              <w:rPr>
                <w:color w:val="000000"/>
              </w:rPr>
            </w:pPr>
            <w:r>
              <w:rPr>
                <w:color w:val="000000"/>
              </w:rPr>
              <w:t>註：</w:t>
            </w:r>
          </w:p>
          <w:p>
            <w:pPr>
              <w:pStyle w:val="Normal"/>
              <w:autoSpaceDE w:val="false"/>
              <w:spacing w:lineRule="exact" w:line="320"/>
              <w:ind w:hanging="192" w:left="192" w:right="0"/>
              <w:jc w:val="both"/>
              <w:rPr>
                <w:color w:val="000000"/>
              </w:rPr>
            </w:pPr>
            <w:r>
              <w:rPr>
                <w:color w:val="000000"/>
              </w:rPr>
              <w:t>1.</w:t>
            </w:r>
            <w:r>
              <w:rPr>
                <w:color w:val="000000"/>
              </w:rPr>
              <w:t>適應症：同一病灶之復發性良性甲狀腺囊腫，且有症狀、觸診明顯之良性甲狀腺囊腫，直徑大於二公分以上，囊液體體積大於</w:t>
            </w:r>
            <w:r>
              <w:rPr>
                <w:color w:val="000000"/>
              </w:rPr>
              <w:t>5CC</w:t>
            </w:r>
            <w:r>
              <w:rPr>
                <w:color w:val="000000"/>
              </w:rPr>
              <w:t>，經過兩次穿刺又復發者。</w:t>
            </w:r>
          </w:p>
          <w:p>
            <w:pPr>
              <w:pStyle w:val="Normal"/>
              <w:autoSpaceDE w:val="false"/>
              <w:spacing w:lineRule="exact" w:line="320"/>
              <w:ind w:hanging="192" w:left="192" w:right="0"/>
              <w:jc w:val="both"/>
              <w:rPr>
                <w:color w:val="000000"/>
              </w:rPr>
            </w:pPr>
            <w:r>
              <w:rPr>
                <w:color w:val="000000"/>
              </w:rPr>
              <w:t>2.</w:t>
            </w:r>
            <w:r>
              <w:rPr>
                <w:color w:val="000000"/>
              </w:rPr>
              <w:t>須事前審查，同一病灶限申報二次。</w:t>
            </w:r>
          </w:p>
          <w:p>
            <w:pPr>
              <w:pStyle w:val="Normal"/>
              <w:autoSpaceDE w:val="false"/>
              <w:spacing w:lineRule="exact" w:line="320"/>
              <w:ind w:hanging="192" w:left="192" w:right="0"/>
              <w:jc w:val="both"/>
              <w:rPr>
                <w:color w:val="000000"/>
              </w:rPr>
            </w:pPr>
            <w:r>
              <w:rPr>
                <w:color w:val="000000"/>
              </w:rPr>
              <w:t>3.</w:t>
            </w:r>
            <w:r>
              <w:rPr>
                <w:color w:val="000000"/>
              </w:rPr>
              <w:t>執行人員資格：限有一百例超音波或穿刺技術經驗之醫師。</w:t>
            </w:r>
          </w:p>
          <w:p>
            <w:pPr>
              <w:pStyle w:val="Normal"/>
              <w:autoSpaceDE w:val="false"/>
              <w:spacing w:lineRule="exact" w:line="320"/>
              <w:ind w:hanging="192" w:left="192" w:right="0"/>
              <w:jc w:val="both"/>
              <w:rPr/>
            </w:pPr>
            <w:r>
              <w:rPr>
                <w:color w:val="000000"/>
              </w:rPr>
              <w:t>4.</w:t>
            </w:r>
            <w:r>
              <w:rPr>
                <w:color w:val="000000"/>
              </w:rPr>
              <w:t>不得同時申報診療項目：</w:t>
            </w:r>
            <w:r>
              <w:rPr>
                <w:color w:val="000000"/>
              </w:rPr>
              <w:t>19007C</w:t>
            </w:r>
            <w:r>
              <w:rPr>
                <w:color w:val="000000"/>
              </w:rPr>
              <w:t>、</w:t>
            </w:r>
            <w:r>
              <w:rPr>
                <w:color w:val="000000"/>
              </w:rPr>
              <w:t>19012C</w:t>
            </w:r>
            <w:r>
              <w:rPr>
                <w:color w:val="000000"/>
              </w:rPr>
              <w:t>、</w:t>
            </w:r>
            <w:r>
              <w:rPr>
                <w:color w:val="000000"/>
              </w:rPr>
              <w:t>29008B</w:t>
            </w:r>
            <w:r>
              <w:rPr>
                <w:color w:val="000000"/>
              </w:rPr>
              <w:t>、</w:t>
            </w:r>
            <w:r>
              <w:rPr>
                <w:color w:val="000000"/>
              </w:rPr>
              <w:t>29011C</w:t>
            </w:r>
            <w:r>
              <w:rPr>
                <w:color w:val="000000"/>
              </w:rPr>
              <w:t>。</w:t>
            </w:r>
          </w:p>
          <w:p>
            <w:pPr>
              <w:pStyle w:val="Normal"/>
              <w:autoSpaceDE w:val="false"/>
              <w:spacing w:lineRule="exact" w:line="320"/>
              <w:ind w:hanging="192" w:left="192" w:right="0"/>
              <w:jc w:val="both"/>
              <w:rPr>
                <w:color w:val="000000"/>
              </w:rPr>
            </w:pPr>
            <w:r>
              <w:rPr>
                <w:color w:val="000000"/>
              </w:rPr>
              <w:t>5.</w:t>
            </w:r>
            <w:r>
              <w:rPr>
                <w:color w:val="000000"/>
              </w:rPr>
              <w:t>內含超音波檢查費、材料費及麻醉費。</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2480</w:t>
            </w:r>
          </w:p>
        </w:tc>
      </w:tr>
      <w:tr>
        <w:trPr/>
        <w:tc>
          <w:tcPr>
            <w:tcW w:w="96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39026C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ind w:hanging="607" w:left="607" w:right="0"/>
              <w:jc w:val="both"/>
              <w:rPr>
                <w:color w:val="000000"/>
              </w:rPr>
            </w:pPr>
            <w:r>
              <w:rPr>
                <w:color w:val="000000"/>
              </w:rPr>
              <w:t>慢性偏頭痛肉毒桿菌素注射技術費</w:t>
            </w:r>
          </w:p>
          <w:p>
            <w:pPr>
              <w:pStyle w:val="Normal"/>
              <w:autoSpaceDE w:val="false"/>
              <w:spacing w:lineRule="exact" w:line="320"/>
              <w:jc w:val="both"/>
              <w:rPr>
                <w:color w:val="000000"/>
              </w:rPr>
            </w:pPr>
            <w:r>
              <w:rPr>
                <w:color w:val="000000"/>
              </w:rPr>
              <w:t>Botulinum toxin injection for chronic migraine</w:t>
            </w:r>
          </w:p>
          <w:p>
            <w:pPr>
              <w:pStyle w:val="Normal"/>
              <w:autoSpaceDE w:val="false"/>
              <w:spacing w:lineRule="exact" w:line="320"/>
              <w:ind w:hanging="607" w:left="607" w:right="0"/>
              <w:jc w:val="both"/>
              <w:rPr>
                <w:color w:val="000000"/>
              </w:rPr>
            </w:pPr>
            <w:r>
              <w:rPr>
                <w:color w:val="000000"/>
              </w:rPr>
              <w:t>註：</w:t>
            </w:r>
            <w:r>
              <w:rPr>
                <w:rFonts w:eastAsia="Times New Roman"/>
                <w:color w:val="000000"/>
              </w:rPr>
              <w:t xml:space="preserve"> </w:t>
            </w:r>
          </w:p>
          <w:p>
            <w:pPr>
              <w:pStyle w:val="Normal"/>
              <w:autoSpaceDE w:val="false"/>
              <w:spacing w:lineRule="exact" w:line="320"/>
              <w:ind w:hanging="192" w:left="192" w:right="0"/>
              <w:jc w:val="both"/>
              <w:rPr>
                <w:color w:val="000000"/>
              </w:rPr>
            </w:pPr>
            <w:r>
              <w:rPr>
                <w:color w:val="000000"/>
              </w:rPr>
              <w:t>支付規範：</w:t>
            </w:r>
          </w:p>
          <w:p>
            <w:pPr>
              <w:pStyle w:val="Normal"/>
              <w:autoSpaceDE w:val="false"/>
              <w:spacing w:lineRule="exact" w:line="320"/>
              <w:ind w:hanging="192" w:left="192" w:right="0"/>
              <w:jc w:val="both"/>
              <w:rPr>
                <w:color w:val="000000"/>
              </w:rPr>
            </w:pPr>
            <w:r>
              <w:rPr>
                <w:color w:val="000000"/>
              </w:rPr>
              <w:t>1.</w:t>
            </w:r>
            <w:r>
              <w:rPr>
                <w:color w:val="000000"/>
              </w:rPr>
              <w:t>需符合「全民健康保險藥物給付項目及支付標準第</w:t>
            </w:r>
            <w:r>
              <w:rPr>
                <w:color w:val="000000"/>
              </w:rPr>
              <w:t>6</w:t>
            </w:r>
            <w:r>
              <w:rPr>
                <w:color w:val="000000"/>
              </w:rPr>
              <w:t>編第</w:t>
            </w:r>
            <w:r>
              <w:rPr>
                <w:color w:val="000000"/>
              </w:rPr>
              <w:t>83</w:t>
            </w:r>
            <w:r>
              <w:rPr>
                <w:color w:val="000000"/>
              </w:rPr>
              <w:t>條之藥品給付規定第</w:t>
            </w:r>
            <w:r>
              <w:rPr>
                <w:color w:val="000000"/>
              </w:rPr>
              <w:t>1</w:t>
            </w:r>
            <w:r>
              <w:rPr>
                <w:color w:val="000000"/>
              </w:rPr>
              <w:t>節神經系統藥物</w:t>
            </w:r>
            <w:r>
              <w:rPr>
                <w:color w:val="000000"/>
              </w:rPr>
              <w:t>1.6.2.Botulinum toxin type A-</w:t>
            </w:r>
            <w:r>
              <w:rPr>
                <w:color w:val="000000"/>
              </w:rPr>
              <w:t>慢性偏頭痛之預防性治療」之使用條件。</w:t>
            </w:r>
          </w:p>
          <w:p>
            <w:pPr>
              <w:pStyle w:val="Normal"/>
              <w:autoSpaceDE w:val="false"/>
              <w:spacing w:lineRule="exact" w:line="320"/>
              <w:ind w:hanging="607" w:left="607" w:right="0"/>
              <w:jc w:val="both"/>
              <w:rPr>
                <w:color w:val="000000"/>
              </w:rPr>
            </w:pPr>
            <w:r>
              <w:rPr>
                <w:color w:val="000000"/>
              </w:rPr>
              <w:t>2.</w:t>
            </w:r>
            <w:r>
              <w:rPr>
                <w:color w:val="000000"/>
              </w:rPr>
              <w:t>不得同時申報：</w:t>
            </w:r>
            <w:r>
              <w:rPr>
                <w:color w:val="000000"/>
              </w:rPr>
              <w:t>39023B</w:t>
            </w:r>
            <w:r>
              <w:rPr>
                <w:color w:val="000000"/>
              </w:rPr>
              <w:t>。</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3664</w:t>
            </w:r>
          </w:p>
        </w:tc>
      </w:tr>
    </w:tbl>
    <w:p>
      <w:pPr>
        <w:pStyle w:val="Normal"/>
        <w:autoSpaceDE w:val="false"/>
        <w:spacing w:lineRule="auto" w:line="240"/>
        <w:ind w:hanging="284" w:left="284" w:right="0"/>
        <w:rPr>
          <w:color w:val="000000"/>
        </w:rPr>
      </w:pPr>
      <w:r>
        <w:rPr>
          <w:color w:val="000000"/>
        </w:rPr>
      </w:r>
    </w:p>
    <w:p>
      <w:pPr>
        <w:pStyle w:val="Normal"/>
        <w:autoSpaceDE w:val="false"/>
        <w:spacing w:lineRule="auto" w:line="240"/>
        <w:ind w:hanging="284" w:left="284" w:right="0"/>
        <w:rPr>
          <w:color w:val="000000"/>
        </w:rPr>
      </w:pPr>
      <w:r>
        <w:rPr>
          <w:color w:val="000000"/>
        </w:rPr>
      </w:r>
    </w:p>
    <w:sectPr>
      <w:footerReference w:type="default" r:id="rId2"/>
      <w:type w:val="nextPage"/>
      <w:pgSz w:w="11906" w:h="16838"/>
      <w:pgMar w:left="1304" w:right="1304" w:gutter="0" w:header="0" w:top="1440" w:footer="992" w:bottom="1440"/>
      <w:pgNumType w:fmt="decimal"/>
      <w:formProt w:val="false"/>
      <w:textDirection w:val="lrTb"/>
      <w:docGrid w:type="default" w:linePitch="33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全真楷書">
    <w:altName w:val="新細明體"/>
    <w:charset w:val="88"/>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w:t>
    </w:r>
    <w:r>
      <w:rPr/>
      <w:t>第二部第二章第三節</w:t>
    </w:r>
    <w:r>
      <w:rPr/>
      <w:t>-</w:t>
    </w:r>
    <w:r>
      <w:rPr/>
      <w:fldChar w:fldCharType="begin"/>
    </w:r>
    <w:r>
      <w:rPr/>
      <w:instrText xml:space="preserve"> PAGE </w:instrText>
    </w:r>
    <w:r>
      <w:rPr/>
      <w:fldChar w:fldCharType="separate"/>
    </w:r>
    <w:r>
      <w:rPr/>
      <w:t>4</w:t>
    </w:r>
    <w:r>
      <w:rPr/>
      <w:fldChar w:fldCharType="end"/>
    </w:r>
    <w:r>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480"/>
  <w:autoHyphenation w:val="true"/>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TC" w:cs="Noto Sans CJK TC"/>
        <w:sz w:val="24"/>
        <w:szCs w:val="24"/>
        <w:lang w:val="en-US" w:eastAsia="zh-TW" w:bidi="hi-IN"/>
      </w:rPr>
    </w:rPrDefault>
    <w:pPrDefault>
      <w:pPr>
        <w:suppressAutoHyphens w:val="true"/>
      </w:pPr>
    </w:pPrDefault>
  </w:docDefaults>
  <w:style w:type="paragraph" w:styleId="Normal">
    <w:name w:val="Normal"/>
    <w:qFormat/>
    <w:pPr>
      <w:widowControl w:val="false"/>
      <w:bidi w:val="0"/>
      <w:spacing w:lineRule="atLeast" w:line="360"/>
      <w:textAlignment w:val="baseline"/>
    </w:pPr>
    <w:rPr>
      <w:rFonts w:ascii="Times New Roman" w:hAnsi="Times New Roman" w:eastAsia="標楷體" w:cs="Times New Roman"/>
      <w:color w:val="auto"/>
      <w:sz w:val="24"/>
      <w:szCs w:val="20"/>
      <w:lang w:val="en-US" w:eastAsia="zh-TW" w:bidi="ar-SA"/>
    </w:rPr>
  </w:style>
  <w:style w:type="paragraph" w:styleId="Heading2">
    <w:name w:val="Heading 2"/>
    <w:basedOn w:val="Normal"/>
    <w:next w:val="Normal"/>
    <w:qFormat/>
    <w:pPr>
      <w:keepNext w:val="true"/>
      <w:numPr>
        <w:ilvl w:val="1"/>
        <w:numId w:val="1"/>
      </w:numPr>
      <w:autoSpaceDE w:val="false"/>
      <w:spacing w:lineRule="auto" w:line="240"/>
      <w:textAlignment w:val="auto"/>
      <w:outlineLvl w:val="1"/>
    </w:pPr>
    <w:rPr>
      <w:rFonts w:eastAsia="新細明體;PMingLiU"/>
      <w:color w:val="000000"/>
      <w:kern w:val="2"/>
      <w:szCs w:val="24"/>
      <w:u w:val="single"/>
    </w:rPr>
  </w:style>
  <w:style w:type="character" w:styleId="WW8Num1z0">
    <w:name w:val="WW8Num1z0"/>
    <w:qFormat/>
    <w:rPr/>
  </w:style>
  <w:style w:type="character" w:styleId="WW8Num2z0">
    <w:name w:val="WW8Num2z0"/>
    <w:qFormat/>
    <w:rPr/>
  </w:style>
  <w:style w:type="character" w:styleId="WW8Num3z0">
    <w:name w:val="WW8Num3z0"/>
    <w:qFormat/>
    <w:rPr>
      <w:color w:val="000000"/>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Style13">
    <w:name w:val="預設段落字型"/>
    <w:qFormat/>
    <w:rPr/>
  </w:style>
  <w:style w:type="character" w:styleId="PageNumber">
    <w:name w:val="Page Number"/>
    <w:basedOn w:val="Style13"/>
    <w:rPr/>
  </w:style>
  <w:style w:type="paragraph" w:styleId="Style14">
    <w:name w:val="標題"/>
    <w:basedOn w:val="Normal"/>
    <w:next w:val="BodyText"/>
    <w:qFormat/>
    <w:pPr>
      <w:keepNext w:val="true"/>
      <w:spacing w:before="240" w:after="120"/>
    </w:pPr>
    <w:rPr>
      <w:rFonts w:ascii="Liberation Sans" w:hAnsi="Liberation Sans" w:eastAsia="Noto Sans CJK TC" w:cs="Noto Sans CJK TC"/>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CJK TC"/>
    </w:rPr>
  </w:style>
  <w:style w:type="paragraph" w:styleId="Caption">
    <w:name w:val="Caption"/>
    <w:basedOn w:val="Normal"/>
    <w:qFormat/>
    <w:pPr>
      <w:suppressLineNumbers/>
      <w:spacing w:before="120" w:after="120"/>
    </w:pPr>
    <w:rPr>
      <w:rFonts w:cs="Noto Sans CJK TC"/>
      <w:i/>
      <w:iCs/>
      <w:sz w:val="24"/>
      <w:szCs w:val="24"/>
    </w:rPr>
  </w:style>
  <w:style w:type="paragraph" w:styleId="Style15">
    <w:name w:val="索引"/>
    <w:basedOn w:val="Normal"/>
    <w:qFormat/>
    <w:pPr>
      <w:suppressLineNumbers/>
    </w:pPr>
    <w:rPr>
      <w:rFonts w:cs="Noto Sans CJK TC"/>
    </w:rPr>
  </w:style>
  <w:style w:type="paragraph" w:styleId="BodyTextIndent">
    <w:name w:val="Body Text Indent"/>
    <w:basedOn w:val="Normal"/>
    <w:pPr>
      <w:autoSpaceDE w:val="false"/>
      <w:snapToGrid w:val="false"/>
      <w:spacing w:before="120" w:after="0"/>
      <w:ind w:hanging="284" w:left="284" w:right="0"/>
    </w:pPr>
    <w:rPr>
      <w:rFonts w:ascii="全真楷書;新細明體" w:hAnsi="全真楷書;新細明體" w:eastAsia="全真楷書;新細明體"/>
      <w:color w:val="000000"/>
      <w:sz w:val="28"/>
    </w:rPr>
  </w:style>
  <w:style w:type="paragraph" w:styleId="2">
    <w:name w:val="本文縮排 2"/>
    <w:basedOn w:val="Normal"/>
    <w:qFormat/>
    <w:pPr>
      <w:autoSpaceDE w:val="false"/>
      <w:spacing w:lineRule="auto" w:line="240"/>
      <w:ind w:hanging="675" w:left="675" w:right="0"/>
    </w:pPr>
    <w:rPr>
      <w:rFonts w:eastAsia="全真楷書;新細明體"/>
      <w:color w:val="000000"/>
    </w:rPr>
  </w:style>
  <w:style w:type="paragraph" w:styleId="3">
    <w:name w:val="本文縮排 3"/>
    <w:basedOn w:val="Normal"/>
    <w:qFormat/>
    <w:pPr>
      <w:autoSpaceDE w:val="false"/>
      <w:spacing w:lineRule="auto" w:line="240"/>
      <w:ind w:hanging="227" w:left="227" w:right="0"/>
    </w:pPr>
    <w:rPr>
      <w:rFonts w:eastAsia="全真楷書;新細明體"/>
      <w:color w:val="000000"/>
    </w:rPr>
  </w:style>
  <w:style w:type="paragraph" w:styleId="HeaderandFooter">
    <w:name w:val="Header and Footer"/>
    <w:basedOn w:val="Normal"/>
    <w:qFormat/>
    <w:pPr>
      <w:suppressLineNumbers/>
      <w:tabs>
        <w:tab w:val="clear" w:pos="480"/>
        <w:tab w:val="center" w:pos="4819" w:leader="none"/>
        <w:tab w:val="right" w:pos="9638" w:leader="none"/>
      </w:tabs>
    </w:pPr>
    <w:rPr/>
  </w:style>
  <w:style w:type="paragraph" w:styleId="Header">
    <w:name w:val="Header"/>
    <w:basedOn w:val="Normal"/>
    <w:pPr>
      <w:tabs>
        <w:tab w:val="clear" w:pos="480"/>
        <w:tab w:val="center" w:pos="4153" w:leader="none"/>
        <w:tab w:val="right" w:pos="8306" w:leader="none"/>
      </w:tabs>
      <w:snapToGrid w:val="false"/>
    </w:pPr>
    <w:rPr>
      <w:sz w:val="20"/>
    </w:rPr>
  </w:style>
  <w:style w:type="paragraph" w:styleId="Footer">
    <w:name w:val="Footer"/>
    <w:basedOn w:val="Normal"/>
    <w:pPr>
      <w:tabs>
        <w:tab w:val="clear" w:pos="480"/>
        <w:tab w:val="center" w:pos="4153" w:leader="none"/>
        <w:tab w:val="right" w:pos="8306" w:leader="none"/>
      </w:tabs>
      <w:snapToGrid w:val="false"/>
    </w:pPr>
    <w:rPr>
      <w:sz w:val="20"/>
    </w:rPr>
  </w:style>
  <w:style w:type="paragraph" w:styleId="Style16">
    <w:name w:val="表格內容"/>
    <w:basedOn w:val="Normal"/>
    <w:qFormat/>
    <w:pPr>
      <w:widowControl w:val="false"/>
      <w:suppressLineNumbers/>
    </w:pPr>
    <w:rPr/>
  </w:style>
  <w:style w:type="paragraph" w:styleId="Style17">
    <w:name w:val="表格標題"/>
    <w:basedOn w:val="Style16"/>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49</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2005-02-04T10:49:00Z</dcterms:created>
  <dc:creator>Win</dc:creator>
  <dc:description/>
  <cp:keywords/>
  <dc:language>zh-TW</dc:language>
  <cp:lastModifiedBy>蔡孟妤</cp:lastModifiedBy>
  <cp:lastPrinted>2004-05-19T14:07:00Z</cp:lastPrinted>
  <dcterms:modified xsi:type="dcterms:W3CDTF">2025-05-05T15:50:00Z</dcterms:modified>
  <cp:revision>26</cp:revision>
  <dc:subject/>
  <dc:title>Ｉ、西醫及牙醫</dc:title>
</cp:coreProperties>
</file>