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240"/>
        <w:ind w:hanging="1200" w:left="1800" w:right="0"/>
        <w:rPr>
          <w:color w:val="000000"/>
          <w:sz w:val="32"/>
        </w:rPr>
      </w:pPr>
      <w:r>
        <w:rPr>
          <w:color w:val="000000"/>
          <w:sz w:val="32"/>
        </w:rPr>
        <w:t>第八節</w:t>
      </w:r>
      <w:r>
        <w:rPr>
          <w:rFonts w:eastAsia="Times New Roman"/>
          <w:color w:val="000000"/>
          <w:sz w:val="32"/>
        </w:rPr>
        <w:t xml:space="preserve"> </w:t>
      </w:r>
      <w:r>
        <w:rPr>
          <w:color w:val="000000"/>
          <w:sz w:val="32"/>
          <w:szCs w:val="32"/>
        </w:rPr>
        <w:t>輸血及造血幹細胞移植</w:t>
      </w:r>
      <w:r>
        <w:rPr>
          <w:color w:val="000000"/>
          <w:sz w:val="32"/>
          <w:szCs w:val="32"/>
        </w:rPr>
        <w:t>Blood Transfusion and Hematopoietic Stem Cell Transplantation</w:t>
      </w:r>
    </w:p>
    <w:p>
      <w:pPr>
        <w:pStyle w:val="Normal"/>
        <w:autoSpaceDE w:val="false"/>
        <w:spacing w:lineRule="auto" w:line="240"/>
        <w:rPr>
          <w:color w:val="000000"/>
        </w:rPr>
      </w:pPr>
      <w:r>
        <w:rPr>
          <w:color w:val="000000"/>
        </w:rPr>
        <w:t>通則：</w:t>
      </w:r>
    </w:p>
    <w:p>
      <w:pPr>
        <w:pStyle w:val="Normal"/>
        <w:autoSpaceDE w:val="false"/>
        <w:spacing w:lineRule="auto" w:line="240"/>
        <w:ind w:hanging="454" w:left="454" w:right="0"/>
        <w:rPr>
          <w:color w:val="000000"/>
        </w:rPr>
      </w:pPr>
      <w:r>
        <w:rPr>
          <w:color w:val="000000"/>
        </w:rPr>
        <w:t>一、輸血以大手術及外傷等嚴重之組織損傷或失血過多及嚴重特殊疾病，危及生命，其他藥物不能救急時為之。</w:t>
      </w:r>
    </w:p>
    <w:p>
      <w:pPr>
        <w:pStyle w:val="Normal"/>
        <w:autoSpaceDE w:val="false"/>
        <w:spacing w:lineRule="auto" w:line="240"/>
        <w:ind w:hanging="454" w:left="454" w:right="0"/>
        <w:rPr>
          <w:color w:val="000000"/>
        </w:rPr>
      </w:pPr>
      <w:r>
        <w:rPr>
          <w:color w:val="000000"/>
          <w:szCs w:val="24"/>
        </w:rPr>
        <w:t>二、保險對象在同一特約醫療院所門診或住院第一次輸血時，得申報血型測定</w:t>
      </w:r>
      <w:r>
        <w:rPr>
          <w:color w:val="000000"/>
          <w:szCs w:val="24"/>
        </w:rPr>
        <w:t xml:space="preserve">(ABO typing) </w:t>
      </w:r>
      <w:r>
        <w:rPr>
          <w:color w:val="000000"/>
          <w:szCs w:val="24"/>
        </w:rPr>
        <w:t>及</w:t>
      </w:r>
      <w:r>
        <w:rPr>
          <w:color w:val="000000"/>
          <w:szCs w:val="24"/>
        </w:rPr>
        <w:t>Rh</w:t>
      </w:r>
      <w:r>
        <w:rPr>
          <w:color w:val="000000"/>
          <w:szCs w:val="24"/>
        </w:rPr>
        <w:t>血型檢查</w:t>
      </w:r>
      <w:r>
        <w:rPr>
          <w:color w:val="000000"/>
          <w:szCs w:val="24"/>
        </w:rPr>
        <w:t>(Rh type)</w:t>
      </w:r>
      <w:r>
        <w:rPr>
          <w:color w:val="000000"/>
          <w:szCs w:val="24"/>
        </w:rPr>
        <w:t>各一次。如有必要得申報不規則抗體篩檢</w:t>
      </w:r>
      <w:r>
        <w:rPr>
          <w:color w:val="000000"/>
          <w:szCs w:val="24"/>
        </w:rPr>
        <w:t>(antibody screening)(</w:t>
      </w:r>
      <w:r>
        <w:rPr>
          <w:color w:val="000000"/>
          <w:szCs w:val="24"/>
        </w:rPr>
        <w:t>編號</w:t>
      </w:r>
      <w:r>
        <w:rPr>
          <w:color w:val="000000"/>
          <w:szCs w:val="24"/>
        </w:rPr>
        <w:t>11004C)</w:t>
      </w:r>
      <w:r>
        <w:rPr>
          <w:color w:val="000000"/>
          <w:szCs w:val="24"/>
        </w:rPr>
        <w:t>一次。第二次以後各次輸血時，不得再申報血型測定及</w:t>
      </w:r>
      <w:r>
        <w:rPr>
          <w:color w:val="000000"/>
          <w:szCs w:val="24"/>
        </w:rPr>
        <w:t>Rh</w:t>
      </w:r>
      <w:r>
        <w:rPr>
          <w:color w:val="000000"/>
          <w:szCs w:val="24"/>
        </w:rPr>
        <w:t>血型檢查；如有必要，每次輸血得申報不規則抗體篩檢</w:t>
      </w:r>
      <w:r>
        <w:rPr>
          <w:color w:val="000000"/>
          <w:szCs w:val="24"/>
        </w:rPr>
        <w:t>(</w:t>
      </w:r>
      <w:r>
        <w:rPr>
          <w:color w:val="000000"/>
          <w:szCs w:val="24"/>
        </w:rPr>
        <w:t>編號</w:t>
      </w:r>
      <w:r>
        <w:rPr>
          <w:color w:val="000000"/>
          <w:szCs w:val="24"/>
        </w:rPr>
        <w:t>11004C)</w:t>
      </w:r>
      <w:r>
        <w:rPr>
          <w:color w:val="000000"/>
          <w:szCs w:val="24"/>
        </w:rPr>
        <w:t>一次。</w:t>
      </w:r>
    </w:p>
    <w:p>
      <w:pPr>
        <w:pStyle w:val="Normal"/>
        <w:ind w:hanging="480" w:left="480" w:right="0"/>
        <w:rPr>
          <w:color w:val="000000"/>
          <w:szCs w:val="24"/>
        </w:rPr>
      </w:pPr>
      <w:r>
        <w:rPr>
          <w:color w:val="000000"/>
          <w:szCs w:val="24"/>
        </w:rPr>
        <w:t>三、使用冷凍沈澱品</w:t>
      </w:r>
      <w:r>
        <w:rPr>
          <w:color w:val="000000"/>
          <w:szCs w:val="24"/>
        </w:rPr>
        <w:t>(cryoprecipitate)</w:t>
      </w:r>
      <w:r>
        <w:rPr>
          <w:color w:val="000000"/>
          <w:szCs w:val="24"/>
        </w:rPr>
        <w:t>、血小板</w:t>
      </w:r>
      <w:r>
        <w:rPr>
          <w:color w:val="000000"/>
          <w:szCs w:val="24"/>
        </w:rPr>
        <w:t>(plate-let)</w:t>
      </w:r>
      <w:r>
        <w:rPr>
          <w:color w:val="000000"/>
          <w:szCs w:val="24"/>
        </w:rPr>
        <w:t>或血漿</w:t>
      </w:r>
      <w:r>
        <w:rPr>
          <w:color w:val="000000"/>
          <w:szCs w:val="24"/>
        </w:rPr>
        <w:t>(plasma)</w:t>
      </w:r>
      <w:r>
        <w:rPr>
          <w:color w:val="000000"/>
          <w:szCs w:val="24"/>
        </w:rPr>
        <w:t>時，不得申報交叉試驗費用，但血漿得做</w:t>
      </w:r>
      <w:r>
        <w:rPr>
          <w:color w:val="000000"/>
          <w:szCs w:val="24"/>
        </w:rPr>
        <w:t>A</w:t>
      </w:r>
      <w:r>
        <w:rPr>
          <w:color w:val="000000"/>
          <w:szCs w:val="24"/>
        </w:rPr>
        <w:t>、</w:t>
      </w:r>
      <w:r>
        <w:rPr>
          <w:color w:val="000000"/>
          <w:szCs w:val="24"/>
        </w:rPr>
        <w:t>B</w:t>
      </w:r>
      <w:r>
        <w:rPr>
          <w:color w:val="000000"/>
          <w:szCs w:val="24"/>
        </w:rPr>
        <w:t>、</w:t>
      </w:r>
      <w:r>
        <w:rPr>
          <w:color w:val="000000"/>
          <w:szCs w:val="24"/>
        </w:rPr>
        <w:t>O</w:t>
      </w:r>
      <w:r>
        <w:rPr>
          <w:color w:val="000000"/>
          <w:szCs w:val="24"/>
        </w:rPr>
        <w:t>血型測定。</w:t>
      </w:r>
    </w:p>
    <w:p>
      <w:pPr>
        <w:pStyle w:val="Normal"/>
        <w:ind w:hanging="480" w:left="480" w:right="0"/>
        <w:rPr>
          <w:color w:val="000000"/>
          <w:szCs w:val="24"/>
        </w:rPr>
      </w:pPr>
      <w:r>
        <w:rPr>
          <w:color w:val="000000"/>
          <w:szCs w:val="24"/>
        </w:rPr>
        <w:t>四、輸血以使用捐血機構或血液銀行血液為原則，不得再申報血袋之</w:t>
      </w:r>
      <w:r>
        <w:rPr>
          <w:color w:val="000000"/>
          <w:szCs w:val="24"/>
        </w:rPr>
        <w:t>Rh</w:t>
      </w:r>
      <w:r>
        <w:rPr>
          <w:color w:val="000000"/>
          <w:szCs w:val="24"/>
        </w:rPr>
        <w:t>血型檢查、</w:t>
      </w:r>
      <w:r>
        <w:rPr>
          <w:color w:val="000000"/>
          <w:szCs w:val="24"/>
        </w:rPr>
        <w:t>B</w:t>
      </w:r>
      <w:r>
        <w:rPr>
          <w:color w:val="000000"/>
          <w:szCs w:val="24"/>
        </w:rPr>
        <w:t>型肝炎表面抗原檢查</w:t>
      </w:r>
      <w:r>
        <w:rPr>
          <w:color w:val="000000"/>
          <w:szCs w:val="24"/>
        </w:rPr>
        <w:t>(HBs Ag)</w:t>
      </w:r>
      <w:r>
        <w:rPr>
          <w:color w:val="000000"/>
          <w:szCs w:val="24"/>
        </w:rPr>
        <w:t>、</w:t>
      </w:r>
      <w:r>
        <w:rPr>
          <w:color w:val="000000"/>
          <w:szCs w:val="24"/>
        </w:rPr>
        <w:t>C</w:t>
      </w:r>
      <w:r>
        <w:rPr>
          <w:color w:val="000000"/>
          <w:szCs w:val="24"/>
        </w:rPr>
        <w:t>型肝炎病毒抗體檢查</w:t>
      </w:r>
      <w:r>
        <w:rPr>
          <w:color w:val="000000"/>
          <w:szCs w:val="24"/>
        </w:rPr>
        <w:t>(Anti-HC)</w:t>
      </w:r>
      <w:r>
        <w:rPr>
          <w:color w:val="000000"/>
          <w:szCs w:val="24"/>
        </w:rPr>
        <w:t>、血色素檢查</w:t>
      </w:r>
      <w:r>
        <w:rPr>
          <w:color w:val="000000"/>
          <w:szCs w:val="24"/>
        </w:rPr>
        <w:t>(Hb)</w:t>
      </w:r>
      <w:r>
        <w:rPr>
          <w:color w:val="000000"/>
          <w:szCs w:val="24"/>
        </w:rPr>
        <w:t>、或血球容積比</w:t>
      </w:r>
      <w:r>
        <w:rPr>
          <w:color w:val="000000"/>
          <w:szCs w:val="24"/>
        </w:rPr>
        <w:t>(Hct)</w:t>
      </w:r>
      <w:r>
        <w:rPr>
          <w:color w:val="000000"/>
          <w:szCs w:val="24"/>
        </w:rPr>
        <w:t>、血清麩胺酸、丙酮酸、轉氨基檢查</w:t>
      </w:r>
      <w:r>
        <w:rPr>
          <w:color w:val="000000"/>
          <w:szCs w:val="24"/>
        </w:rPr>
        <w:t>(SGPT</w:t>
      </w:r>
      <w:r>
        <w:rPr>
          <w:color w:val="000000"/>
          <w:szCs w:val="24"/>
        </w:rPr>
        <w:t>或</w:t>
      </w:r>
      <w:r>
        <w:rPr>
          <w:color w:val="000000"/>
          <w:szCs w:val="24"/>
        </w:rPr>
        <w:t>ALT)</w:t>
      </w:r>
      <w:r>
        <w:rPr>
          <w:color w:val="000000"/>
          <w:szCs w:val="24"/>
        </w:rPr>
        <w:t>、梅毒檢查</w:t>
      </w:r>
      <w:r>
        <w:rPr>
          <w:color w:val="000000"/>
          <w:szCs w:val="24"/>
        </w:rPr>
        <w:t>(VDRL)</w:t>
      </w:r>
      <w:r>
        <w:rPr>
          <w:color w:val="000000"/>
          <w:szCs w:val="24"/>
        </w:rPr>
        <w:t>或後天免疫不全症候群</w:t>
      </w:r>
      <w:r>
        <w:rPr>
          <w:color w:val="000000"/>
          <w:szCs w:val="24"/>
        </w:rPr>
        <w:t>(AIDs)</w:t>
      </w:r>
      <w:r>
        <w:rPr>
          <w:color w:val="000000"/>
          <w:szCs w:val="24"/>
        </w:rPr>
        <w:t>篩檢。</w:t>
      </w:r>
    </w:p>
    <w:p>
      <w:pPr>
        <w:pStyle w:val="Normal"/>
        <w:autoSpaceDE w:val="false"/>
        <w:spacing w:lineRule="auto" w:line="240"/>
        <w:ind w:hanging="454" w:left="454" w:right="0"/>
        <w:rPr>
          <w:color w:val="000000"/>
        </w:rPr>
      </w:pPr>
      <w:r>
        <w:rPr>
          <w:color w:val="000000"/>
        </w:rPr>
        <w:t>五、供血者需符合主管機關公告之「供血者健康標準」。</w:t>
      </w:r>
    </w:p>
    <w:p>
      <w:pPr>
        <w:pStyle w:val="Normal"/>
        <w:ind w:hanging="454" w:left="454" w:right="0"/>
        <w:rPr>
          <w:color w:val="000000"/>
        </w:rPr>
      </w:pPr>
      <w:r>
        <w:rPr>
          <w:color w:val="000000"/>
          <w:szCs w:val="24"/>
        </w:rPr>
        <w:t>六、特約醫療院所申請輸血費，應於病歷上註明血液來源</w:t>
      </w:r>
      <w:r>
        <w:rPr>
          <w:color w:val="000000"/>
          <w:szCs w:val="24"/>
        </w:rPr>
        <w:t>(</w:t>
      </w:r>
      <w:r>
        <w:rPr>
          <w:color w:val="000000"/>
          <w:szCs w:val="24"/>
        </w:rPr>
        <w:t>含供血者姓名、身分證號、詳細住址、血型及供血數量</w:t>
      </w:r>
      <w:r>
        <w:rPr>
          <w:color w:val="000000"/>
          <w:szCs w:val="24"/>
        </w:rPr>
        <w:t>)</w:t>
      </w:r>
      <w:r>
        <w:rPr>
          <w:color w:val="000000"/>
          <w:szCs w:val="24"/>
        </w:rPr>
        <w:t>。</w:t>
      </w:r>
    </w:p>
    <w:p>
      <w:pPr>
        <w:pStyle w:val="Normal"/>
        <w:numPr>
          <w:ilvl w:val="0"/>
          <w:numId w:val="0"/>
        </w:numPr>
        <w:outlineLvl w:val="0"/>
        <w:rPr>
          <w:color w:val="000000"/>
        </w:rPr>
      </w:pPr>
      <w:r>
        <w:rPr>
          <w:color w:val="000000"/>
        </w:rPr>
        <w:t>第一項</w:t>
      </w:r>
      <w:r>
        <w:rPr>
          <w:rFonts w:eastAsia="Times New Roman"/>
          <w:color w:val="000000"/>
        </w:rPr>
        <w:t xml:space="preserve"> </w:t>
      </w:r>
      <w:r>
        <w:rPr>
          <w:color w:val="000000"/>
        </w:rPr>
        <w:t>輸血費</w:t>
      </w:r>
      <w:r>
        <w:rPr>
          <w:rFonts w:eastAsia="Times New Roman"/>
          <w:color w:val="000000"/>
        </w:rPr>
        <w:t xml:space="preserve">  </w:t>
      </w:r>
      <w:r>
        <w:rPr>
          <w:color w:val="000000"/>
        </w:rPr>
        <w:t>(93001~93023)</w:t>
      </w:r>
    </w:p>
    <w:tbl>
      <w:tblPr>
        <w:tblW w:w="9526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77"/>
        <w:gridCol w:w="6281"/>
        <w:gridCol w:w="354"/>
        <w:gridCol w:w="354"/>
        <w:gridCol w:w="354"/>
        <w:gridCol w:w="355"/>
        <w:gridCol w:w="851"/>
      </w:tblGrid>
      <w:tr>
        <w:trPr>
          <w:tblHeader w:val="true"/>
          <w:trHeight w:val="1336" w:hRule="atLeast"/>
          <w:cantSplit w:val="true"/>
        </w:trPr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編號</w:t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診療項目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基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層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院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所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地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區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醫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院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區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域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醫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院</w:t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醫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學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中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心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支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付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點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數</w:t>
            </w:r>
          </w:p>
        </w:tc>
      </w:tr>
      <w:tr>
        <w:trPr>
          <w:trHeight w:val="340" w:hRule="atLeast"/>
        </w:trPr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93001C</w:t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紅血球濃厚液：每單位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Packed RBC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right"/>
              <w:rPr>
                <w:color w:val="000000"/>
              </w:rPr>
            </w:pPr>
            <w:r>
              <w:rPr>
                <w:color w:val="000000"/>
              </w:rPr>
              <w:t>475</w:t>
            </w:r>
          </w:p>
        </w:tc>
      </w:tr>
      <w:tr>
        <w:trPr>
          <w:trHeight w:val="340" w:hRule="atLeast"/>
        </w:trPr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93002C</w:t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洗滌紅血球：每單位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Washed RBC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right"/>
              <w:rPr>
                <w:color w:val="000000"/>
              </w:rPr>
            </w:pPr>
            <w:r>
              <w:rPr>
                <w:color w:val="000000"/>
              </w:rPr>
              <w:t>675</w:t>
            </w:r>
          </w:p>
        </w:tc>
      </w:tr>
      <w:tr>
        <w:trPr>
          <w:trHeight w:val="624" w:hRule="atLeast"/>
        </w:trPr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93003C</w:t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冷凍去甘油紅血球：每單位</w:t>
            </w:r>
          </w:p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Frozen red cells deglycerized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right"/>
              <w:rPr>
                <w:color w:val="000000"/>
              </w:rPr>
            </w:pPr>
            <w:r>
              <w:rPr>
                <w:color w:val="000000"/>
              </w:rPr>
              <w:t>1375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93004C</w:t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血小板濃厚液：每單位</w:t>
            </w:r>
          </w:p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Platelet concentrate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right"/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93005C</w:t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白血球濃厚液：每單位</w:t>
            </w:r>
          </w:p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WBC concentrate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right"/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93006C</w:t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白血球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血小板濃厚液：每單位</w:t>
            </w:r>
          </w:p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WBC + platelet concentrate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right"/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</w:tr>
      <w:tr>
        <w:trPr>
          <w:trHeight w:val="680" w:hRule="atLeast"/>
        </w:trPr>
        <w:tc>
          <w:tcPr>
            <w:tcW w:w="9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分離術血小板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一次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t>相當於從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3000 c.c.</w:t>
            </w:r>
            <w:r>
              <w:rPr>
                <w:color w:val="000000"/>
              </w:rPr>
              <w:t>血液分離出血小板濃厚液</w:t>
            </w:r>
            <w:r>
              <w:rPr>
                <w:color w:val="000000"/>
              </w:rPr>
              <w:t>)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97" w:hRule="atLeast"/>
        </w:trPr>
        <w:tc>
          <w:tcPr>
            <w:tcW w:w="9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93007C</w:t>
            </w:r>
          </w:p>
        </w:tc>
        <w:tc>
          <w:tcPr>
            <w:tcW w:w="628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－向捐血中心、家屬或親友取血</w:t>
            </w:r>
          </w:p>
        </w:tc>
        <w:tc>
          <w:tcPr>
            <w:tcW w:w="35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/>
            </w:pPr>
            <w:r>
              <w:rPr>
                <w:color w:val="000000"/>
              </w:rPr>
              <w:t>4300</w:t>
            </w:r>
          </w:p>
        </w:tc>
      </w:tr>
      <w:tr>
        <w:trPr>
          <w:trHeight w:val="453" w:hRule="atLeast"/>
        </w:trPr>
        <w:tc>
          <w:tcPr>
            <w:tcW w:w="9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93016C</w:t>
            </w:r>
          </w:p>
        </w:tc>
        <w:tc>
          <w:tcPr>
            <w:tcW w:w="62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－非向捐血中心、家屬或親友取血</w:t>
            </w:r>
          </w:p>
        </w:tc>
        <w:tc>
          <w:tcPr>
            <w:tcW w:w="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color w:val="000000"/>
              </w:rPr>
            </w:pPr>
            <w:r>
              <w:rPr>
                <w:color w:val="000000"/>
              </w:rPr>
              <w:t>7200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分離術白血球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一次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t>相當於從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3000 c.c.</w:t>
            </w:r>
            <w:r>
              <w:rPr>
                <w:color w:val="000000"/>
              </w:rPr>
              <w:t>血液分離出白血球濃厚液</w:t>
            </w:r>
            <w:r>
              <w:rPr>
                <w:color w:val="000000"/>
              </w:rPr>
              <w:t>)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93008C</w:t>
            </w:r>
          </w:p>
        </w:tc>
        <w:tc>
          <w:tcPr>
            <w:tcW w:w="628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向捐血中心、家屬或親友取血</w:t>
            </w:r>
          </w:p>
        </w:tc>
        <w:tc>
          <w:tcPr>
            <w:tcW w:w="35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color w:val="000000"/>
              </w:rPr>
            </w:pPr>
            <w:r>
              <w:rPr>
                <w:color w:val="000000"/>
              </w:rPr>
              <w:t>6300</w:t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93017C</w:t>
            </w:r>
          </w:p>
        </w:tc>
        <w:tc>
          <w:tcPr>
            <w:tcW w:w="62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非向捐血中心、家屬或親友取血</w:t>
            </w:r>
          </w:p>
        </w:tc>
        <w:tc>
          <w:tcPr>
            <w:tcW w:w="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color w:val="000000"/>
              </w:rPr>
            </w:pPr>
            <w:r>
              <w:rPr>
                <w:color w:val="000000"/>
              </w:rPr>
              <w:t>9200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白血球＋分離術血小板：一次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t>相當於從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3000 c.c.</w:t>
            </w:r>
          </w:p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血液分離出白血球及血小板濃厚液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tLeast" w:line="20"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93009C</w:t>
            </w:r>
          </w:p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93018C</w:t>
            </w:r>
          </w:p>
        </w:tc>
        <w:tc>
          <w:tcPr>
            <w:tcW w:w="62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向捐血中心、家屬或親友取血</w:t>
            </w:r>
          </w:p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非向捐血中心、家屬或親友取血</w:t>
            </w:r>
          </w:p>
        </w:tc>
        <w:tc>
          <w:tcPr>
            <w:tcW w:w="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right"/>
              <w:rPr>
                <w:color w:val="000000"/>
              </w:rPr>
            </w:pPr>
            <w:r>
              <w:rPr>
                <w:color w:val="000000"/>
              </w:rPr>
              <w:t>6200</w:t>
            </w:r>
          </w:p>
          <w:p>
            <w:pPr>
              <w:pStyle w:val="Normal"/>
              <w:autoSpaceDE w:val="false"/>
              <w:spacing w:lineRule="atLeast" w:line="20"/>
              <w:jc w:val="right"/>
              <w:rPr>
                <w:color w:val="000000"/>
              </w:rPr>
            </w:pPr>
            <w:r>
              <w:rPr>
                <w:color w:val="000000"/>
              </w:rPr>
              <w:t>9200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93010C</w:t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新鮮冷凍血漿：每單位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Fresh frozen plasma</w:t>
            </w:r>
          </w:p>
          <w:p>
            <w:pPr>
              <w:pStyle w:val="Normal"/>
              <w:autoSpaceDE w:val="false"/>
              <w:spacing w:lineRule="atLeast" w:line="20"/>
              <w:rPr/>
            </w:pPr>
            <w:r>
              <w:rPr>
                <w:color w:val="000000"/>
              </w:rPr>
              <w:t>註：家屬或親友等之捐血比照辦理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right"/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93011C</w:t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冷凍血漿：每單位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Frozen plasma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right"/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93012C</w:t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冷凍沈澱品：每單位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Cryoprecipitate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right"/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93013C</w:t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/>
            </w:pPr>
            <w:r>
              <w:rPr>
                <w:color w:val="000000"/>
              </w:rPr>
              <w:t>全血：每單位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(250cc) Whole blood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v 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right"/>
              <w:rPr>
                <w:color w:val="000000"/>
              </w:rPr>
            </w:pPr>
            <w:r>
              <w:rPr>
                <w:color w:val="000000"/>
              </w:rPr>
              <w:t>575</w:t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Heading1"/>
              <w:ind w:hanging="0" w:left="0"/>
              <w:rPr>
                <w:u w:val="none"/>
              </w:rPr>
            </w:pPr>
            <w:r>
              <w:rPr>
                <w:u w:val="none"/>
              </w:rPr>
              <w:t>93021C</w:t>
            </w:r>
          </w:p>
        </w:tc>
        <w:tc>
          <w:tcPr>
            <w:tcW w:w="62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全血：每</w:t>
            </w:r>
            <w:r>
              <w:rPr>
                <w:color w:val="000000"/>
              </w:rPr>
              <w:t>C.C.</w:t>
            </w:r>
          </w:p>
          <w:p>
            <w:pPr>
              <w:pStyle w:val="Normal"/>
              <w:autoSpaceDE w:val="false"/>
              <w:spacing w:lineRule="atLeast" w:line="20"/>
              <w:rPr/>
            </w:pPr>
            <w:r>
              <w:rPr>
                <w:color w:val="000000"/>
              </w:rPr>
              <w:t>註：家屬或親友等之捐血比照辦理</w:t>
            </w:r>
          </w:p>
        </w:tc>
        <w:tc>
          <w:tcPr>
            <w:tcW w:w="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93015C</w:t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向非捐血中心取血，全血（每單位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250cc</w:t>
            </w:r>
            <w:r>
              <w:rPr>
                <w:color w:val="000000"/>
              </w:rPr>
              <w:t>）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v 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v 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v </w:t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v 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right"/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Heading1"/>
              <w:ind w:hanging="0" w:left="0"/>
              <w:rPr>
                <w:u w:val="none"/>
              </w:rPr>
            </w:pPr>
            <w:r>
              <w:rPr>
                <w:u w:val="none"/>
              </w:rPr>
              <w:t>93022C</w:t>
            </w:r>
          </w:p>
        </w:tc>
        <w:tc>
          <w:tcPr>
            <w:tcW w:w="62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向非捐血中心取血，全血：每</w:t>
            </w:r>
            <w:r>
              <w:rPr>
                <w:color w:val="000000"/>
              </w:rPr>
              <w:t>C.C.</w:t>
            </w:r>
          </w:p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註：包括血費、血液檢驗及材料費在內</w:t>
            </w:r>
          </w:p>
        </w:tc>
        <w:tc>
          <w:tcPr>
            <w:tcW w:w="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93019C</w:t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減除白血球之紅血球濃厚液：每單位</w:t>
            </w:r>
          </w:p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Leucocyte-Poor Red Blood Cells, per unit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right"/>
              <w:rPr>
                <w:color w:val="000000"/>
              </w:rPr>
            </w:pPr>
            <w:r>
              <w:rPr>
                <w:color w:val="000000"/>
              </w:rPr>
              <w:t>925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93020C</w:t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rPr>
                <w:color w:val="000000"/>
              </w:rPr>
            </w:pPr>
            <w:r>
              <w:rPr>
                <w:color w:val="000000"/>
              </w:rPr>
              <w:t>血液管理費</w:t>
            </w:r>
          </w:p>
          <w:p>
            <w:pPr>
              <w:pStyle w:val="Normal"/>
              <w:autoSpaceDE w:val="false"/>
              <w:spacing w:lineRule="atLeast" w:line="20"/>
              <w:ind w:hanging="720" w:left="720" w:right="0"/>
              <w:rPr>
                <w:color w:val="000000"/>
              </w:rPr>
            </w:pPr>
            <w:r>
              <w:rPr>
                <w:color w:val="000000"/>
              </w:rPr>
              <w:t>註：</w:t>
            </w:r>
          </w:p>
          <w:p>
            <w:pPr>
              <w:pStyle w:val="Normal"/>
              <w:autoSpaceDE w:val="false"/>
              <w:spacing w:lineRule="atLeast" w:line="20"/>
              <w:ind w:hanging="192" w:left="192" w:right="0"/>
              <w:rPr>
                <w:color w:val="000000"/>
              </w:rPr>
            </w:pPr>
            <w:r>
              <w:rPr>
                <w:color w:val="000000"/>
              </w:rPr>
              <w:t>1.</w:t>
            </w:r>
            <w:r>
              <w:rPr>
                <w:color w:val="000000"/>
              </w:rPr>
              <w:t>申報</w:t>
            </w:r>
            <w:r>
              <w:rPr>
                <w:color w:val="000000"/>
              </w:rPr>
              <w:t>93001C~93006C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93007C~93013C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93019C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93023C</w:t>
            </w:r>
            <w:r>
              <w:rPr>
                <w:color w:val="000000"/>
              </w:rPr>
              <w:t>等診療項目時得併申報本項費用，其中</w:t>
            </w:r>
            <w:r>
              <w:rPr>
                <w:color w:val="000000"/>
              </w:rPr>
              <w:t>93004C ~93006C</w:t>
            </w:r>
            <w:r>
              <w:rPr>
                <w:color w:val="000000"/>
              </w:rPr>
              <w:t>每六單位申報一次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不足六單位者，以實際用量按比例申報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，其他項目每單位申報一次，非向捐血中心取血者不得申報。</w:t>
            </w:r>
          </w:p>
          <w:p>
            <w:pPr>
              <w:pStyle w:val="Normal"/>
              <w:autoSpaceDE w:val="false"/>
              <w:spacing w:lineRule="atLeast" w:line="20"/>
              <w:ind w:hanging="192" w:left="192" w:right="0"/>
              <w:rPr>
                <w:color w:val="000000"/>
              </w:rPr>
            </w:pPr>
            <w:r>
              <w:rPr>
                <w:color w:val="000000"/>
              </w:rPr>
              <w:t>2.</w:t>
            </w:r>
            <w:r>
              <w:rPr>
                <w:color w:val="000000"/>
              </w:rPr>
              <w:t>本項費用含血庫管理、血液報廢、血液運輸、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設備與維修，試劑、水電費等費用。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tLeast" w:line="20"/>
              <w:jc w:val="right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93023C</w:t>
            </w:r>
          </w:p>
        </w:tc>
        <w:tc>
          <w:tcPr>
            <w:tcW w:w="6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減除白血球分離術血小板</w:t>
            </w:r>
          </w:p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Platelets pheresis, leukocytes reduced</w:t>
            </w:r>
          </w:p>
          <w:p>
            <w:pPr>
              <w:pStyle w:val="Normal"/>
              <w:autoSpaceDE w:val="false"/>
              <w:spacing w:lineRule="exact" w:line="320"/>
              <w:ind w:hanging="1008" w:left="1008" w:right="0"/>
              <w:rPr>
                <w:color w:val="000000"/>
              </w:rPr>
            </w:pPr>
            <w:r>
              <w:rPr>
                <w:color w:val="000000"/>
              </w:rPr>
              <w:t>註：</w:t>
            </w:r>
          </w:p>
          <w:p>
            <w:pPr>
              <w:pStyle w:val="Normal"/>
              <w:autoSpaceDE w:val="false"/>
              <w:spacing w:lineRule="exact" w:line="320"/>
              <w:ind w:hanging="1008" w:left="1008" w:right="0"/>
              <w:rPr>
                <w:color w:val="000000"/>
              </w:rPr>
            </w:pPr>
            <w:r>
              <w:rPr>
                <w:color w:val="000000"/>
              </w:rPr>
              <w:t>1.</w:t>
            </w:r>
            <w:r>
              <w:rPr>
                <w:color w:val="000000"/>
              </w:rPr>
              <w:t>限</w:t>
            </w:r>
          </w:p>
          <w:p>
            <w:pPr>
              <w:pStyle w:val="Normal"/>
              <w:autoSpaceDE w:val="false"/>
              <w:spacing w:lineRule="exact" w:line="320"/>
              <w:ind w:hanging="284" w:left="454" w:right="0"/>
              <w:rPr/>
            </w:pPr>
            <w:r>
              <w:rPr>
                <w:color w:val="000000"/>
              </w:rPr>
              <w:t>(</w:t>
            </w:r>
            <w:r>
              <w:rPr>
                <w:color w:val="000000"/>
              </w:rPr>
              <w:t>1)</w:t>
            </w:r>
            <w:r>
              <w:rPr>
                <w:color w:val="000000"/>
              </w:rPr>
              <w:t>須長期輸血之病患，包括</w:t>
            </w:r>
            <w:r>
              <w:rPr>
                <w:color w:val="000000"/>
              </w:rPr>
              <w:t>aplastic anemia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dyserthropoiesis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chemotherapy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thalassemia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hanging="284" w:left="454" w:right="0"/>
              <w:rPr/>
            </w:pPr>
            <w:r>
              <w:rPr>
                <w:color w:val="000000"/>
              </w:rPr>
              <w:t>(</w:t>
            </w:r>
            <w:r>
              <w:rPr>
                <w:color w:val="000000"/>
              </w:rPr>
              <w:t>2)</w:t>
            </w:r>
            <w:r>
              <w:rPr>
                <w:color w:val="000000"/>
              </w:rPr>
              <w:t>器官移植、骨髓移植、新生兒及免疫不全之病患。</w:t>
            </w:r>
          </w:p>
          <w:p>
            <w:pPr>
              <w:pStyle w:val="Normal"/>
              <w:autoSpaceDE w:val="false"/>
              <w:spacing w:lineRule="exact" w:line="320"/>
              <w:ind w:hanging="284" w:left="454" w:right="0"/>
              <w:rPr/>
            </w:pPr>
            <w:r>
              <w:rPr>
                <w:color w:val="000000"/>
              </w:rPr>
              <w:t>(</w:t>
            </w:r>
            <w:r>
              <w:rPr>
                <w:color w:val="000000"/>
              </w:rPr>
              <w:t>3)</w:t>
            </w:r>
            <w:r>
              <w:rPr>
                <w:color w:val="000000"/>
              </w:rPr>
              <w:t>因白血球引起發燒發冷反應二次以上之病患須再次輸血者。</w:t>
            </w:r>
          </w:p>
          <w:p>
            <w:pPr>
              <w:pStyle w:val="Normal"/>
              <w:autoSpaceDE w:val="false"/>
              <w:spacing w:lineRule="atLeast" w:line="20"/>
              <w:ind w:hanging="192" w:left="192" w:right="0"/>
              <w:rPr/>
            </w:pPr>
            <w:r>
              <w:rPr>
                <w:color w:val="000000"/>
              </w:rPr>
              <w:t>2.</w:t>
            </w:r>
            <w:r>
              <w:rPr>
                <w:color w:val="000000"/>
              </w:rPr>
              <w:t>衛生福利部委託進行之「建立輸血反應監視回報系統及其應用」計畫中，使用計畫經費提供之血品者，不得申報本項目。</w:t>
            </w:r>
          </w:p>
          <w:p>
            <w:pPr>
              <w:pStyle w:val="Normal"/>
              <w:autoSpaceDE w:val="false"/>
              <w:spacing w:lineRule="atLeast" w:line="20"/>
              <w:ind w:hanging="192" w:left="192" w:right="0"/>
              <w:rPr>
                <w:color w:val="000000"/>
              </w:rPr>
            </w:pPr>
            <w:r>
              <w:rPr>
                <w:color w:val="000000"/>
              </w:rPr>
              <w:t>3.</w:t>
            </w:r>
            <w:r>
              <w:rPr>
                <w:color w:val="000000"/>
              </w:rPr>
              <w:t>醫療院所申報時，應按實際血小板使用量，申報成數如下：</w:t>
            </w:r>
          </w:p>
          <w:p>
            <w:pPr>
              <w:pStyle w:val="Normal"/>
              <w:autoSpaceDE w:val="false"/>
              <w:spacing w:lineRule="exact" w:line="320"/>
              <w:ind w:hanging="284" w:left="454" w:right="0"/>
              <w:rPr/>
            </w:pPr>
            <w:r>
              <w:rPr>
                <w:color w:val="000000"/>
              </w:rPr>
              <w:t>(</w:t>
            </w:r>
            <w:r>
              <w:rPr>
                <w:color w:val="000000"/>
              </w:rPr>
              <w:t>1)</w:t>
            </w:r>
            <w:r>
              <w:rPr>
                <w:color w:val="000000"/>
              </w:rPr>
              <w:t>使用數量一單位者，申報成數為</w:t>
            </w:r>
            <w:r>
              <w:rPr>
                <w:color w:val="000000"/>
              </w:rPr>
              <w:t>0.47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hanging="284" w:left="454" w:right="0"/>
              <w:rPr/>
            </w:pPr>
            <w:r>
              <w:rPr>
                <w:color w:val="000000"/>
              </w:rPr>
              <w:t>(2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使用數量二單位者，申報成數為</w:t>
            </w:r>
            <w:r>
              <w:rPr>
                <w:color w:val="000000"/>
              </w:rPr>
              <w:t>0.51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hanging="284" w:left="454" w:right="0"/>
              <w:rPr/>
            </w:pPr>
            <w:r>
              <w:rPr>
                <w:color w:val="000000"/>
              </w:rPr>
              <w:t>(3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使用數量三單位者，申報成數為</w:t>
            </w:r>
            <w:r>
              <w:rPr>
                <w:color w:val="000000"/>
              </w:rPr>
              <w:t>0.56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hanging="284" w:left="454" w:right="0"/>
              <w:rPr/>
            </w:pPr>
            <w:r>
              <w:rPr>
                <w:color w:val="000000"/>
              </w:rPr>
              <w:t>(4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使用數量四單位者，申報成數為</w:t>
            </w:r>
            <w:r>
              <w:rPr>
                <w:color w:val="000000"/>
              </w:rPr>
              <w:t>0.61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hanging="284" w:left="454" w:right="0"/>
              <w:rPr/>
            </w:pPr>
            <w:r>
              <w:rPr>
                <w:color w:val="000000"/>
              </w:rPr>
              <w:t>(5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使用數量五單位者，申報成數為</w:t>
            </w:r>
            <w:r>
              <w:rPr>
                <w:color w:val="000000"/>
              </w:rPr>
              <w:t>0.66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hanging="284" w:left="454" w:right="0"/>
              <w:rPr/>
            </w:pPr>
            <w:r>
              <w:rPr>
                <w:color w:val="000000"/>
              </w:rPr>
              <w:t>(6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使用數量六單位者，申報成數為</w:t>
            </w:r>
            <w:r>
              <w:rPr>
                <w:color w:val="000000"/>
              </w:rPr>
              <w:t>0.71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hanging="284" w:left="454" w:right="0"/>
              <w:rPr/>
            </w:pPr>
            <w:r>
              <w:rPr>
                <w:color w:val="000000"/>
              </w:rPr>
              <w:t>(7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使用數量七單位者，申報成數為</w:t>
            </w:r>
            <w:r>
              <w:rPr>
                <w:color w:val="000000"/>
              </w:rPr>
              <w:t>0.76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hanging="284" w:left="454" w:right="0"/>
              <w:rPr/>
            </w:pPr>
            <w:r>
              <w:rPr>
                <w:color w:val="000000"/>
              </w:rPr>
              <w:t>(8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使用數量八單位者，申報成數為</w:t>
            </w:r>
            <w:r>
              <w:rPr>
                <w:color w:val="000000"/>
              </w:rPr>
              <w:t>0.81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hanging="284" w:left="454" w:right="0"/>
              <w:rPr/>
            </w:pPr>
            <w:r>
              <w:rPr>
                <w:color w:val="000000"/>
              </w:rPr>
              <w:t>(9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使用數量九單位者，申報成數為</w:t>
            </w:r>
            <w:r>
              <w:rPr>
                <w:color w:val="000000"/>
              </w:rPr>
              <w:t>0.85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hanging="284" w:left="454" w:right="0"/>
              <w:rPr/>
            </w:pPr>
            <w:r>
              <w:rPr>
                <w:color w:val="000000"/>
              </w:rPr>
              <w:t>(10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使用數量十單位者，申報成數為</w:t>
            </w:r>
            <w:r>
              <w:rPr>
                <w:color w:val="000000"/>
              </w:rPr>
              <w:t>0.90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hanging="284" w:left="454" w:right="0"/>
              <w:rPr/>
            </w:pPr>
            <w:r>
              <w:rPr>
                <w:color w:val="000000"/>
              </w:rPr>
              <w:t>(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使用數量十一單位者，申報成數為</w:t>
            </w:r>
            <w:r>
              <w:rPr>
                <w:color w:val="000000"/>
              </w:rPr>
              <w:t>0.95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hanging="284" w:left="454" w:right="0"/>
              <w:rPr/>
            </w:pPr>
            <w:r>
              <w:rPr>
                <w:color w:val="000000"/>
              </w:rPr>
              <w:t>(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2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使用數量十二單位者，申報成數為</w:t>
            </w:r>
            <w:r>
              <w:rPr>
                <w:color w:val="000000"/>
              </w:rPr>
              <w:t>1.00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autoSpaceDE w:val="false"/>
              <w:spacing w:lineRule="atLeast" w:line="20"/>
              <w:ind w:hanging="192" w:left="192" w:right="0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4.</w:t>
            </w:r>
            <w:r>
              <w:rPr>
                <w:color w:val="000000"/>
              </w:rPr>
              <w:t>本項支付點數包含血品處理過程使用之白血球過濾器等特材、血液費及處理技術費。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color w:val="000000"/>
              </w:rPr>
            </w:pPr>
            <w:r>
              <w:rPr>
                <w:color w:val="000000"/>
              </w:rPr>
              <w:t>7300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120" w:after="12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numPr>
          <w:ilvl w:val="0"/>
          <w:numId w:val="0"/>
        </w:numPr>
        <w:spacing w:before="120" w:after="120"/>
        <w:outlineLvl w:val="0"/>
        <w:rPr>
          <w:color w:val="000000"/>
        </w:rPr>
      </w:pPr>
      <w:r>
        <w:rPr>
          <w:color w:val="000000"/>
        </w:rPr>
        <w:t>第二項</w:t>
      </w:r>
      <w:r>
        <w:rPr>
          <w:rFonts w:eastAsia="Times New Roman"/>
          <w:color w:val="000000"/>
        </w:rPr>
        <w:t xml:space="preserve">  </w:t>
      </w:r>
      <w:r>
        <w:rPr>
          <w:color w:val="000000"/>
        </w:rPr>
        <w:t>輸血技術費</w:t>
      </w:r>
      <w:r>
        <w:rPr>
          <w:color w:val="000000"/>
        </w:rPr>
        <w:t>(94001-94005)</w:t>
      </w:r>
    </w:p>
    <w:tbl>
      <w:tblPr>
        <w:tblW w:w="8974" w:type="dxa"/>
        <w:jc w:val="left"/>
        <w:tblInd w:w="26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60"/>
        <w:gridCol w:w="5463"/>
        <w:gridCol w:w="425"/>
        <w:gridCol w:w="425"/>
        <w:gridCol w:w="425"/>
        <w:gridCol w:w="426"/>
        <w:gridCol w:w="850"/>
      </w:tblGrid>
      <w:tr>
        <w:trPr>
          <w:cantSplit w:val="true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編號</w:t>
            </w:r>
          </w:p>
        </w:tc>
        <w:tc>
          <w:tcPr>
            <w:tcW w:w="5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診療項目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基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層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院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所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地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區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醫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院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區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域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醫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院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醫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學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中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心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支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付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點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數</w:t>
            </w:r>
          </w:p>
        </w:tc>
      </w:tr>
      <w:tr>
        <w:trPr>
          <w:trHeight w:val="903" w:hRule="atLeast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94001C</w:t>
            </w:r>
          </w:p>
        </w:tc>
        <w:tc>
          <w:tcPr>
            <w:tcW w:w="5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一般輸血：一次</w:t>
            </w:r>
          </w:p>
          <w:p>
            <w:pPr>
              <w:pStyle w:val="Heading1"/>
              <w:spacing w:lineRule="exact" w:line="340"/>
              <w:ind w:hanging="0" w:left="0"/>
              <w:rPr>
                <w:u w:val="none"/>
              </w:rPr>
            </w:pPr>
            <w:r>
              <w:rPr>
                <w:u w:val="none"/>
              </w:rPr>
              <w:t>General blood transfusion</w:t>
            </w:r>
          </w:p>
          <w:p>
            <w:pPr>
              <w:pStyle w:val="Normal"/>
              <w:autoSpaceDE w:val="false"/>
              <w:spacing w:lineRule="exact" w:line="340"/>
              <w:ind w:hanging="408" w:left="408" w:right="0"/>
              <w:rPr/>
            </w:pPr>
            <w:r>
              <w:rPr>
                <w:color w:val="000000"/>
              </w:rPr>
              <w:t>註：</w:t>
            </w:r>
            <w:r>
              <w:rPr>
                <w:color w:val="000000"/>
                <w:spacing w:val="-20"/>
              </w:rPr>
              <w:t>輸血技術費以「次」為計算單位，即連續輸血者，僅核付第一次技術費，超過</w:t>
            </w:r>
            <w:r>
              <w:rPr>
                <w:rFonts w:eastAsia="Times New Roman"/>
                <w:color w:val="000000"/>
                <w:spacing w:val="-20"/>
              </w:rPr>
              <w:t xml:space="preserve"> </w:t>
            </w:r>
            <w:r>
              <w:rPr>
                <w:color w:val="000000"/>
                <w:spacing w:val="-20"/>
              </w:rPr>
              <w:t>2 5 0</w:t>
            </w:r>
            <w:r>
              <w:rPr>
                <w:color w:val="000000"/>
                <w:spacing w:val="-20"/>
              </w:rPr>
              <w:t>毫升以上部份，無加算之規定</w:t>
            </w:r>
            <w:r>
              <w:rPr>
                <w:color w:val="000000"/>
              </w:rPr>
              <w:t>。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right"/>
              <w:rPr>
                <w:color w:val="000000"/>
              </w:rPr>
            </w:pPr>
            <w:r>
              <w:rPr>
                <w:color w:val="000000"/>
              </w:rPr>
              <w:t>270</w:t>
            </w:r>
          </w:p>
        </w:tc>
      </w:tr>
      <w:tr>
        <w:trPr/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both"/>
              <w:rPr>
                <w:color w:val="000000"/>
              </w:rPr>
            </w:pPr>
            <w:r>
              <w:rPr>
                <w:color w:val="000000"/>
              </w:rPr>
              <w:t>94005C</w:t>
            </w:r>
          </w:p>
        </w:tc>
        <w:tc>
          <w:tcPr>
            <w:tcW w:w="5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both"/>
              <w:rPr>
                <w:color w:val="000000"/>
              </w:rPr>
            </w:pPr>
            <w:r>
              <w:rPr>
                <w:color w:val="000000"/>
              </w:rPr>
              <w:t>白血病、再生不良性貧血、骨髓移植病人、血液惡性腫瘤病人移植輸血</w:t>
            </w:r>
          </w:p>
          <w:p>
            <w:pPr>
              <w:pStyle w:val="21"/>
              <w:spacing w:lineRule="exact" w:line="340"/>
              <w:rPr/>
            </w:pPr>
            <w:r>
              <w:rPr/>
              <w:t>Blood transfusion for special hematological disorders</w:t>
            </w:r>
          </w:p>
          <w:p>
            <w:pPr>
              <w:pStyle w:val="Normal"/>
              <w:autoSpaceDE w:val="false"/>
              <w:spacing w:lineRule="exact" w:line="340"/>
              <w:ind w:hanging="480" w:left="480" w:right="0"/>
              <w:rPr/>
            </w:pPr>
            <w:r>
              <w:rPr>
                <w:color w:val="000000"/>
              </w:rPr>
              <w:t>註：輸血技術費以「次」為計算單位，即連續輸血者，僅核付第一次技術費，超過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250</w:t>
            </w:r>
            <w:r>
              <w:rPr>
                <w:color w:val="000000"/>
                <w:spacing w:val="-20"/>
              </w:rPr>
              <w:t>毫升</w:t>
            </w:r>
            <w:r>
              <w:rPr>
                <w:color w:val="000000"/>
              </w:rPr>
              <w:t>以上部份，無加算之規定。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right"/>
              <w:rPr>
                <w:color w:val="000000"/>
              </w:rPr>
            </w:pPr>
            <w:r>
              <w:rPr>
                <w:color w:val="000000"/>
              </w:rPr>
              <w:t>424</w:t>
            </w:r>
          </w:p>
        </w:tc>
      </w:tr>
      <w:tr>
        <w:trPr/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94002B</w:t>
            </w:r>
          </w:p>
        </w:tc>
        <w:tc>
          <w:tcPr>
            <w:tcW w:w="5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換血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Exchange transfusion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right"/>
              <w:rPr>
                <w:color w:val="000000"/>
              </w:rPr>
            </w:pPr>
            <w:r>
              <w:rPr>
                <w:color w:val="000000"/>
              </w:rPr>
              <w:t>3429</w:t>
            </w:r>
          </w:p>
        </w:tc>
      </w:tr>
      <w:tr>
        <w:trPr/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94003B</w:t>
            </w:r>
          </w:p>
        </w:tc>
        <w:tc>
          <w:tcPr>
            <w:tcW w:w="5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自體貯血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手術前</w:t>
            </w:r>
            <w:r>
              <w:rPr>
                <w:color w:val="000000"/>
              </w:rPr>
              <w:t>)</w:t>
            </w:r>
          </w:p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Autologus transfusion(pre-deposit)</w:t>
            </w:r>
          </w:p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註：含採血袋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blood bag </w:t>
            </w:r>
            <w:r>
              <w:rPr>
                <w:color w:val="000000"/>
              </w:rPr>
              <w:t>等材料費。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right"/>
              <w:rPr>
                <w:color w:val="000000"/>
              </w:rPr>
            </w:pPr>
            <w:r>
              <w:rPr>
                <w:color w:val="000000"/>
              </w:rPr>
              <w:t>350</w:t>
            </w:r>
          </w:p>
        </w:tc>
      </w:tr>
      <w:tr>
        <w:trPr/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94004C</w:t>
            </w:r>
          </w:p>
        </w:tc>
        <w:tc>
          <w:tcPr>
            <w:tcW w:w="5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治療性放血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Therapeutic phlebetomy</w:t>
            </w:r>
          </w:p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註：含採血袋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Blood bag</w:t>
            </w:r>
            <w:r>
              <w:rPr>
                <w:color w:val="000000"/>
              </w:rPr>
              <w:t>等材料費。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right"/>
              <w:rPr>
                <w:color w:val="000000"/>
              </w:rPr>
            </w:pPr>
            <w:r>
              <w:rPr>
                <w:color w:val="000000"/>
              </w:rPr>
              <w:t>140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numPr>
          <w:ilvl w:val="0"/>
          <w:numId w:val="0"/>
        </w:numPr>
        <w:autoSpaceDE w:val="false"/>
        <w:spacing w:lineRule="auto" w:line="240"/>
        <w:outlineLvl w:val="0"/>
        <w:rPr>
          <w:color w:val="000000"/>
        </w:rPr>
      </w:pPr>
      <w:r>
        <w:rPr>
          <w:color w:val="000000"/>
        </w:rPr>
        <w:t>第三項</w:t>
      </w:r>
      <w:r>
        <w:rPr>
          <w:rFonts w:eastAsia="Times New Roman"/>
          <w:color w:val="000000"/>
        </w:rPr>
        <w:t xml:space="preserve"> </w:t>
      </w:r>
      <w:r>
        <w:rPr>
          <w:color w:val="000000"/>
          <w:szCs w:val="24"/>
        </w:rPr>
        <w:t>造血幹細胞移植技術費</w:t>
      </w:r>
      <w:r>
        <w:rPr>
          <w:color w:val="000000"/>
          <w:szCs w:val="24"/>
        </w:rPr>
        <w:t>Hematopoietic Stem Cell Transplantation (94201</w:t>
      </w:r>
      <w:r>
        <w:rPr>
          <w:color w:val="000000"/>
          <w:szCs w:val="24"/>
        </w:rPr>
        <w:t>～</w:t>
      </w:r>
      <w:r>
        <w:rPr>
          <w:color w:val="000000"/>
          <w:szCs w:val="24"/>
        </w:rPr>
        <w:t>94209)</w:t>
      </w:r>
    </w:p>
    <w:p>
      <w:pPr>
        <w:pStyle w:val="Normal"/>
        <w:autoSpaceDE w:val="false"/>
        <w:spacing w:lineRule="auto" w:line="240"/>
        <w:rPr>
          <w:color w:val="000000"/>
        </w:rPr>
      </w:pPr>
      <w:r>
        <w:rPr>
          <w:color w:val="000000"/>
        </w:rPr>
        <w:t>通則：</w:t>
      </w:r>
    </w:p>
    <w:p>
      <w:pPr>
        <w:pStyle w:val="Normal"/>
        <w:autoSpaceDE w:val="false"/>
        <w:spacing w:lineRule="auto" w:line="240"/>
        <w:ind w:hanging="510" w:left="510" w:right="0"/>
        <w:rPr/>
      </w:pPr>
      <w:r>
        <w:rPr>
          <w:color w:val="000000"/>
        </w:rPr>
        <w:t>一、適應症如下：</w:t>
      </w:r>
    </w:p>
    <w:p>
      <w:pPr>
        <w:pStyle w:val="Normal"/>
        <w:autoSpaceDE w:val="false"/>
        <w:spacing w:lineRule="auto" w:line="240"/>
        <w:ind w:hanging="150" w:left="510" w:right="0"/>
        <w:rPr>
          <w:color w:val="000000"/>
        </w:rPr>
      </w:pPr>
      <w:r>
        <w:rPr>
          <w:color w:val="000000"/>
        </w:rPr>
        <w:t>(</w:t>
      </w:r>
      <w:r>
        <w:rPr>
          <w:color w:val="000000"/>
        </w:rPr>
        <w:t>一</w:t>
      </w:r>
      <w:r>
        <w:rPr>
          <w:color w:val="000000"/>
        </w:rPr>
        <w:t>)</w:t>
      </w:r>
      <w:r>
        <w:rPr>
          <w:color w:val="000000"/>
        </w:rPr>
        <w:t>急慢性骨髓性白血病。</w:t>
      </w:r>
    </w:p>
    <w:p>
      <w:pPr>
        <w:pStyle w:val="Normal"/>
        <w:autoSpaceDE w:val="false"/>
        <w:spacing w:lineRule="auto" w:line="240"/>
        <w:ind w:hanging="150" w:left="510" w:right="0"/>
        <w:rPr>
          <w:color w:val="000000"/>
        </w:rPr>
      </w:pPr>
      <w:r>
        <w:rPr>
          <w:color w:val="000000"/>
        </w:rPr>
        <w:t>(</w:t>
      </w:r>
      <w:r>
        <w:rPr>
          <w:color w:val="000000"/>
        </w:rPr>
        <w:t>二</w:t>
      </w:r>
      <w:r>
        <w:rPr>
          <w:color w:val="000000"/>
        </w:rPr>
        <w:t>)</w:t>
      </w:r>
      <w:r>
        <w:rPr>
          <w:color w:val="000000"/>
        </w:rPr>
        <w:t>急性淋巴性白血病。</w:t>
      </w:r>
    </w:p>
    <w:p>
      <w:pPr>
        <w:pStyle w:val="Normal"/>
        <w:autoSpaceDE w:val="false"/>
        <w:spacing w:lineRule="auto" w:line="240"/>
        <w:ind w:hanging="150" w:left="510" w:right="0"/>
        <w:rPr>
          <w:color w:val="000000"/>
        </w:rPr>
      </w:pPr>
      <w:r>
        <w:rPr>
          <w:color w:val="000000"/>
        </w:rPr>
        <w:t>(</w:t>
      </w:r>
      <w:r>
        <w:rPr>
          <w:color w:val="000000"/>
        </w:rPr>
        <w:t>三</w:t>
      </w:r>
      <w:r>
        <w:rPr>
          <w:color w:val="000000"/>
        </w:rPr>
        <w:t>)</w:t>
      </w:r>
      <w:r>
        <w:rPr>
          <w:color w:val="000000"/>
        </w:rPr>
        <w:t>嚴重再生不良性貧血。</w:t>
      </w:r>
    </w:p>
    <w:p>
      <w:pPr>
        <w:pStyle w:val="Normal"/>
        <w:autoSpaceDE w:val="false"/>
        <w:spacing w:lineRule="auto" w:line="240"/>
        <w:ind w:hanging="150" w:left="510" w:right="0"/>
        <w:rPr>
          <w:color w:val="000000"/>
        </w:rPr>
      </w:pPr>
      <w:r>
        <w:rPr>
          <w:color w:val="000000"/>
        </w:rPr>
        <w:t>(</w:t>
      </w:r>
      <w:r>
        <w:rPr>
          <w:color w:val="000000"/>
        </w:rPr>
        <w:t>四</w:t>
      </w:r>
      <w:r>
        <w:rPr>
          <w:color w:val="000000"/>
        </w:rPr>
        <w:t>)</w:t>
      </w:r>
      <w:r>
        <w:rPr>
          <w:color w:val="000000"/>
        </w:rPr>
        <w:t>淋巴瘤。</w:t>
      </w:r>
    </w:p>
    <w:p>
      <w:pPr>
        <w:pStyle w:val="Normal"/>
        <w:autoSpaceDE w:val="false"/>
        <w:spacing w:lineRule="auto" w:line="240"/>
        <w:ind w:hanging="150" w:left="510" w:right="0"/>
        <w:rPr>
          <w:color w:val="000000"/>
        </w:rPr>
      </w:pPr>
      <w:r>
        <w:rPr>
          <w:color w:val="000000"/>
        </w:rPr>
        <w:t>(</w:t>
      </w:r>
      <w:r>
        <w:rPr>
          <w:color w:val="000000"/>
        </w:rPr>
        <w:t>五</w:t>
      </w:r>
      <w:r>
        <w:rPr>
          <w:color w:val="000000"/>
        </w:rPr>
        <w:t>)</w:t>
      </w:r>
      <w:r>
        <w:rPr>
          <w:color w:val="000000"/>
        </w:rPr>
        <w:t>惡性固態腫瘤。</w:t>
      </w:r>
    </w:p>
    <w:p>
      <w:pPr>
        <w:pStyle w:val="Normal"/>
        <w:autoSpaceDE w:val="false"/>
        <w:spacing w:lineRule="auto" w:line="240"/>
        <w:ind w:hanging="150" w:left="510" w:right="0"/>
        <w:rPr>
          <w:color w:val="000000"/>
        </w:rPr>
      </w:pPr>
      <w:r>
        <w:rPr>
          <w:color w:val="000000"/>
        </w:rPr>
        <w:t>(</w:t>
      </w:r>
      <w:r>
        <w:rPr>
          <w:color w:val="000000"/>
        </w:rPr>
        <w:t>六</w:t>
      </w:r>
      <w:r>
        <w:rPr>
          <w:color w:val="000000"/>
        </w:rPr>
        <w:t>)</w:t>
      </w:r>
      <w:r>
        <w:rPr>
          <w:color w:val="000000"/>
        </w:rPr>
        <w:t>骨髓形成不良症候群。</w:t>
      </w:r>
    </w:p>
    <w:p>
      <w:pPr>
        <w:pStyle w:val="Normal"/>
        <w:autoSpaceDE w:val="false"/>
        <w:spacing w:lineRule="auto" w:line="240"/>
        <w:ind w:hanging="150" w:left="510" w:right="0"/>
        <w:rPr>
          <w:color w:val="000000"/>
        </w:rPr>
      </w:pPr>
      <w:r>
        <w:rPr>
          <w:color w:val="000000"/>
        </w:rPr>
        <w:t>(</w:t>
      </w:r>
      <w:r>
        <w:rPr>
          <w:color w:val="000000"/>
        </w:rPr>
        <w:t>七</w:t>
      </w:r>
      <w:r>
        <w:rPr>
          <w:color w:val="000000"/>
        </w:rPr>
        <w:t>)</w:t>
      </w:r>
      <w:r>
        <w:rPr>
          <w:color w:val="000000"/>
        </w:rPr>
        <w:t>重症海洋性貧血。</w:t>
      </w:r>
    </w:p>
    <w:p>
      <w:pPr>
        <w:pStyle w:val="Normal"/>
        <w:autoSpaceDE w:val="false"/>
        <w:spacing w:lineRule="auto" w:line="240"/>
        <w:ind w:hanging="150" w:left="510" w:right="0"/>
        <w:rPr>
          <w:color w:val="000000"/>
        </w:rPr>
      </w:pPr>
      <w:r>
        <w:rPr>
          <w:color w:val="000000"/>
        </w:rPr>
        <w:t>(</w:t>
      </w:r>
      <w:r>
        <w:rPr>
          <w:color w:val="000000"/>
        </w:rPr>
        <w:t>八</w:t>
      </w:r>
      <w:r>
        <w:rPr>
          <w:color w:val="000000"/>
        </w:rPr>
        <w:t>)</w:t>
      </w:r>
      <w:r>
        <w:rPr>
          <w:color w:val="000000"/>
        </w:rPr>
        <w:t>其他嚴重免疫及造血系統疾病。</w:t>
      </w:r>
    </w:p>
    <w:p>
      <w:pPr>
        <w:pStyle w:val="Normal"/>
        <w:ind w:hanging="454" w:left="454" w:right="0"/>
        <w:rPr/>
      </w:pPr>
      <w:r>
        <w:rPr>
          <w:color w:val="000000"/>
        </w:rPr>
        <w:t>二、除第</w:t>
      </w:r>
      <w:r>
        <w:rPr>
          <w:color w:val="000000"/>
          <w:szCs w:val="24"/>
        </w:rPr>
        <w:t>(</w:t>
      </w:r>
      <w:r>
        <w:rPr>
          <w:color w:val="000000"/>
          <w:szCs w:val="24"/>
        </w:rPr>
        <w:t>一</w:t>
      </w:r>
      <w:r>
        <w:rPr>
          <w:color w:val="000000"/>
          <w:szCs w:val="24"/>
        </w:rPr>
        <w:t>)</w:t>
      </w:r>
      <w:r>
        <w:rPr>
          <w:color w:val="000000"/>
          <w:szCs w:val="24"/>
        </w:rPr>
        <w:t>、</w:t>
      </w:r>
      <w:r>
        <w:rPr>
          <w:color w:val="000000"/>
          <w:szCs w:val="24"/>
        </w:rPr>
        <w:t>(</w:t>
      </w:r>
      <w:r>
        <w:rPr>
          <w:color w:val="000000"/>
          <w:szCs w:val="24"/>
        </w:rPr>
        <w:t>二</w:t>
      </w:r>
      <w:r>
        <w:rPr>
          <w:color w:val="000000"/>
          <w:szCs w:val="24"/>
        </w:rPr>
        <w:t>)</w:t>
      </w:r>
      <w:r>
        <w:rPr>
          <w:color w:val="000000"/>
          <w:szCs w:val="24"/>
        </w:rPr>
        <w:t>、</w:t>
      </w:r>
      <w:r>
        <w:rPr>
          <w:color w:val="000000"/>
          <w:szCs w:val="24"/>
        </w:rPr>
        <w:t>(</w:t>
      </w:r>
      <w:r>
        <w:rPr>
          <w:color w:val="000000"/>
          <w:szCs w:val="24"/>
        </w:rPr>
        <w:t>三</w:t>
      </w:r>
      <w:r>
        <w:rPr>
          <w:color w:val="000000"/>
          <w:szCs w:val="24"/>
        </w:rPr>
        <w:t>)</w:t>
      </w:r>
      <w:r>
        <w:rPr>
          <w:color w:val="000000"/>
        </w:rPr>
        <w:t>項疾病及診療項目另有規定外，其餘均須事先報經保險人同意後實施。</w:t>
      </w:r>
    </w:p>
    <w:tbl>
      <w:tblPr>
        <w:tblW w:w="9159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40"/>
        <w:gridCol w:w="5910"/>
        <w:gridCol w:w="389"/>
        <w:gridCol w:w="390"/>
        <w:gridCol w:w="390"/>
        <w:gridCol w:w="390"/>
        <w:gridCol w:w="850"/>
      </w:tblGrid>
      <w:tr>
        <w:trPr>
          <w:tblHeader w:val="true"/>
          <w:trHeight w:val="1336" w:hRule="atLeast"/>
          <w:cantSplit w:val="true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編號</w:t>
            </w:r>
          </w:p>
        </w:tc>
        <w:tc>
          <w:tcPr>
            <w:tcW w:w="5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診療項目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基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層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院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所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地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區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醫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院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區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域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醫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院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醫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學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中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心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支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付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點</w:t>
            </w:r>
          </w:p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數</w:t>
            </w:r>
          </w:p>
        </w:tc>
      </w:tr>
      <w:tr>
        <w:trPr>
          <w:trHeight w:val="283" w:hRule="atLeast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94201B</w:t>
            </w:r>
          </w:p>
        </w:tc>
        <w:tc>
          <w:tcPr>
            <w:tcW w:w="5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異體造血幹細胞移植術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autoSpaceDE w:val="false"/>
              <w:spacing w:lineRule="exact" w:line="360"/>
              <w:jc w:val="both"/>
              <w:rPr/>
            </w:pPr>
            <w:r>
              <w:rPr>
                <w:color w:val="000000"/>
              </w:rPr>
              <w:t>A</w:t>
            </w:r>
            <w:r>
              <w:rPr>
                <w:color w:val="000000"/>
                <w:szCs w:val="24"/>
              </w:rPr>
              <w:t>llogeneic</w:t>
            </w:r>
            <w:r>
              <w:rPr>
                <w:color w:val="000000"/>
              </w:rPr>
              <w:t xml:space="preserve"> Hematopoietic Stem Cell Transplantation,</w:t>
            </w:r>
            <w:r>
              <w:rPr>
                <w:color w:val="000000"/>
              </w:rPr>
              <w:t>一次</w:t>
            </w:r>
          </w:p>
          <w:p>
            <w:pPr>
              <w:pStyle w:val="Normal"/>
              <w:autoSpaceDE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註：</w:t>
            </w:r>
          </w:p>
          <w:p>
            <w:pPr>
              <w:pStyle w:val="Normal"/>
              <w:autoSpaceDE w:val="false"/>
              <w:spacing w:lineRule="exact" w:line="360"/>
              <w:ind w:hanging="192" w:left="192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1.</w:t>
            </w:r>
            <w:r>
              <w:rPr>
                <w:color w:val="000000"/>
              </w:rPr>
              <w:t>包括植入異體造血幹細胞，幹細胞來源可為骨髓、周邊造血細胞或臍帶造血細胞；包含周邊造血細胞輸注。</w:t>
            </w:r>
          </w:p>
          <w:p>
            <w:pPr>
              <w:pStyle w:val="Normal"/>
              <w:autoSpaceDE w:val="false"/>
              <w:spacing w:lineRule="exact" w:line="360"/>
              <w:ind w:hanging="192" w:left="192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2.</w:t>
            </w:r>
            <w:r>
              <w:rPr>
                <w:color w:val="000000"/>
              </w:rPr>
              <w:t>其他各項診療費用依本標準表所定項目及支付點數申報。</w:t>
            </w:r>
          </w:p>
          <w:p>
            <w:pPr>
              <w:pStyle w:val="Normal"/>
              <w:autoSpaceDE w:val="false"/>
              <w:spacing w:lineRule="exact" w:line="360"/>
              <w:ind w:hanging="192" w:left="192" w:right="0"/>
              <w:rPr>
                <w:color w:val="000000"/>
              </w:rPr>
            </w:pPr>
            <w:r>
              <w:rPr>
                <w:color w:val="000000"/>
              </w:rPr>
              <w:t>3.</w:t>
            </w:r>
            <w:r>
              <w:rPr>
                <w:color w:val="000000"/>
              </w:rPr>
              <w:t>受贈者需為本保險之保險對象。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right"/>
              <w:rPr>
                <w:color w:val="000000"/>
              </w:rPr>
            </w:pPr>
            <w:r>
              <w:rPr>
                <w:color w:val="000000"/>
              </w:rPr>
              <w:t>14495</w:t>
            </w:r>
          </w:p>
        </w:tc>
      </w:tr>
      <w:tr>
        <w:trPr>
          <w:trHeight w:val="23" w:hRule="atLeast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94202B</w:t>
            </w:r>
          </w:p>
        </w:tc>
        <w:tc>
          <w:tcPr>
            <w:tcW w:w="5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自體造血幹細胞移植術</w:t>
            </w:r>
          </w:p>
          <w:p>
            <w:pPr>
              <w:pStyle w:val="Normal"/>
              <w:autoSpaceDE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Autologous Hematopoietic Stem Cell Transplantation,</w:t>
            </w:r>
            <w:r>
              <w:rPr>
                <w:color w:val="000000"/>
              </w:rPr>
              <w:t>一次</w:t>
            </w:r>
          </w:p>
          <w:p>
            <w:pPr>
              <w:pStyle w:val="Normal"/>
              <w:autoSpaceDE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註：</w:t>
            </w:r>
          </w:p>
          <w:p>
            <w:pPr>
              <w:pStyle w:val="Normal"/>
              <w:autoSpaceDE w:val="false"/>
              <w:spacing w:lineRule="exact" w:line="360"/>
              <w:ind w:hanging="192" w:left="192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1.</w:t>
            </w:r>
            <w:r>
              <w:rPr>
                <w:color w:val="000000"/>
              </w:rPr>
              <w:t>包括植入自體造血幹細胞，涵蓋骨髓或周邊血幹細胞。</w:t>
            </w:r>
          </w:p>
          <w:p>
            <w:pPr>
              <w:pStyle w:val="Normal"/>
              <w:autoSpaceDE w:val="false"/>
              <w:spacing w:lineRule="exact" w:line="360"/>
              <w:ind w:hanging="192" w:left="192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2.</w:t>
            </w:r>
            <w:r>
              <w:rPr>
                <w:color w:val="000000"/>
              </w:rPr>
              <w:t>其他各項診療費用依本標準表所定項目及支付點數申報。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right"/>
              <w:rPr>
                <w:color w:val="000000"/>
              </w:rPr>
            </w:pPr>
            <w:r>
              <w:rPr>
                <w:color w:val="000000"/>
              </w:rPr>
              <w:t>7498</w:t>
            </w:r>
          </w:p>
          <w:p>
            <w:pPr>
              <w:pStyle w:val="Normal"/>
              <w:autoSpaceDE w:val="false"/>
              <w:spacing w:lineRule="exact" w:line="360"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23" w:hRule="atLeast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9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3"/>
              <w:spacing w:lineRule="exact" w:line="360"/>
              <w:rPr>
                <w:rFonts w:eastAsia="標楷體"/>
                <w:u w:val="none"/>
              </w:rPr>
            </w:pPr>
            <w:r>
              <w:rPr>
                <w:rFonts w:eastAsia="標楷體"/>
                <w:u w:val="none"/>
              </w:rPr>
              <w:t>造血幹細胞移植冷凍保存費</w:t>
            </w:r>
          </w:p>
          <w:p>
            <w:pPr>
              <w:pStyle w:val="3"/>
              <w:spacing w:lineRule="exact" w:line="360"/>
              <w:rPr>
                <w:rFonts w:eastAsia="標楷體"/>
                <w:u w:val="none"/>
              </w:rPr>
            </w:pPr>
            <w:r>
              <w:rPr>
                <w:rFonts w:eastAsia="標楷體"/>
                <w:u w:val="none"/>
              </w:rPr>
              <w:t>Stem cell Cryopreservation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center"/>
              <w:rPr>
                <w:rFonts w:eastAsia="標楷體"/>
                <w:color w:val="000000"/>
                <w:u w:val="none"/>
              </w:rPr>
            </w:pPr>
            <w:r>
              <w:rPr>
                <w:rFonts w:eastAsia="標楷體"/>
                <w:color w:val="000000"/>
                <w:u w:val="none"/>
              </w:rPr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23" w:hRule="atLeast"/>
        </w:trPr>
        <w:tc>
          <w:tcPr>
            <w:tcW w:w="84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94203B</w:t>
            </w:r>
          </w:p>
        </w:tc>
        <w:tc>
          <w:tcPr>
            <w:tcW w:w="591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ind w:hanging="492" w:left="494" w:right="0"/>
              <w:rPr/>
            </w:pPr>
            <w:r>
              <w:rPr>
                <w:color w:val="000000"/>
              </w:rPr>
              <w:t>冷凍保存一個月內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ascii="新細明體;PMingLiU" w:hAnsi="新細明體;PMingLiU" w:cs="新細明體;PMingLiU" w:eastAsia="新細明體;PMingLiU"/>
                <w:color w:val="000000"/>
              </w:rPr>
              <w:t>≦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1 month</w:t>
            </w:r>
          </w:p>
        </w:tc>
        <w:tc>
          <w:tcPr>
            <w:tcW w:w="38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right"/>
              <w:rPr>
                <w:color w:val="000000"/>
              </w:rPr>
            </w:pPr>
            <w:r>
              <w:rPr>
                <w:color w:val="000000"/>
              </w:rPr>
              <w:t>10303</w:t>
            </w:r>
          </w:p>
        </w:tc>
      </w:tr>
      <w:tr>
        <w:trPr>
          <w:trHeight w:val="23" w:hRule="atLeast"/>
        </w:trPr>
        <w:tc>
          <w:tcPr>
            <w:tcW w:w="84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94208B</w:t>
            </w:r>
          </w:p>
        </w:tc>
        <w:tc>
          <w:tcPr>
            <w:tcW w:w="591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ind w:hanging="482" w:left="484" w:right="0"/>
              <w:rPr>
                <w:color w:val="000000"/>
              </w:rPr>
            </w:pPr>
            <w:r>
              <w:rPr>
                <w:color w:val="000000"/>
              </w:rPr>
              <w:t>冷凍保存一至三個月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1-3 months</w:t>
            </w:r>
          </w:p>
        </w:tc>
        <w:tc>
          <w:tcPr>
            <w:tcW w:w="38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right"/>
              <w:rPr>
                <w:color w:val="000000"/>
              </w:rPr>
            </w:pPr>
            <w:r>
              <w:rPr>
                <w:color w:val="000000"/>
              </w:rPr>
              <w:t>19732</w:t>
            </w:r>
          </w:p>
        </w:tc>
      </w:tr>
      <w:tr>
        <w:trPr>
          <w:trHeight w:val="23" w:hRule="atLeast"/>
        </w:trPr>
        <w:tc>
          <w:tcPr>
            <w:tcW w:w="84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94209B</w:t>
            </w:r>
          </w:p>
        </w:tc>
        <w:tc>
          <w:tcPr>
            <w:tcW w:w="591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ind w:hanging="492" w:left="494" w:right="0"/>
              <w:rPr/>
            </w:pPr>
            <w:r>
              <w:rPr>
                <w:color w:val="000000"/>
              </w:rPr>
              <w:t>冷凍保存</w:t>
            </w:r>
            <w:r>
              <w:rPr>
                <w:color w:val="000000"/>
                <w:szCs w:val="24"/>
              </w:rPr>
              <w:t>三至六個月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3-6 months</w:t>
            </w:r>
          </w:p>
        </w:tc>
        <w:tc>
          <w:tcPr>
            <w:tcW w:w="38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right"/>
              <w:rPr>
                <w:color w:val="000000"/>
              </w:rPr>
            </w:pPr>
            <w:r>
              <w:rPr>
                <w:color w:val="000000"/>
              </w:rPr>
              <w:t>29160</w:t>
            </w:r>
          </w:p>
        </w:tc>
      </w:tr>
      <w:tr>
        <w:trPr>
          <w:trHeight w:val="23" w:hRule="atLeast"/>
        </w:trPr>
        <w:tc>
          <w:tcPr>
            <w:tcW w:w="8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9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ind w:hanging="636" w:left="636" w:right="0"/>
              <w:rPr>
                <w:color w:val="000000"/>
              </w:rPr>
            </w:pPr>
            <w:r>
              <w:rPr>
                <w:color w:val="000000"/>
              </w:rPr>
              <w:t>註：</w:t>
            </w:r>
          </w:p>
          <w:p>
            <w:pPr>
              <w:pStyle w:val="Normal"/>
              <w:autoSpaceDE w:val="false"/>
              <w:spacing w:lineRule="exact" w:line="360"/>
              <w:ind w:hanging="192" w:left="192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1.</w:t>
            </w:r>
            <w:r>
              <w:rPr>
                <w:color w:val="000000"/>
              </w:rPr>
              <w:t>包括人員、藥品、特殊材料、冷凍設備之消耗等費用在內。</w:t>
            </w:r>
          </w:p>
          <w:p>
            <w:pPr>
              <w:pStyle w:val="Normal"/>
              <w:autoSpaceDE w:val="false"/>
              <w:spacing w:lineRule="exact" w:line="360"/>
              <w:ind w:hanging="192" w:left="192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2.</w:t>
            </w:r>
            <w:r>
              <w:rPr>
                <w:color w:val="000000"/>
                <w:szCs w:val="24"/>
              </w:rPr>
              <w:t>保存超過六個月者不另給付。</w:t>
            </w:r>
          </w:p>
        </w:tc>
        <w:tc>
          <w:tcPr>
            <w:tcW w:w="38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94205B</w:t>
            </w:r>
          </w:p>
        </w:tc>
        <w:tc>
          <w:tcPr>
            <w:tcW w:w="5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骨髓移植－抽髓（自體或異體）</w:t>
            </w:r>
          </w:p>
          <w:p>
            <w:pPr>
              <w:pStyle w:val="Normal"/>
              <w:autoSpaceDE w:val="false"/>
              <w:spacing w:lineRule="auto" w:line="240"/>
              <w:rPr>
                <w:color w:val="000000"/>
              </w:rPr>
            </w:pPr>
            <w:r>
              <w:rPr>
                <w:color w:val="000000"/>
              </w:rPr>
              <w:t>Bone marrow transplantation harvesting (allo-or auto- )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uto" w: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auto" w: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>7200</w:t>
            </w:r>
          </w:p>
        </w:tc>
      </w:tr>
    </w:tbl>
    <w:p>
      <w:pPr>
        <w:pStyle w:val="Normal"/>
        <w:autoSpaceDE w:val="false"/>
        <w:spacing w:lineRule="auto" w:line="240"/>
        <w:ind w:hanging="284" w:left="284" w:right="0"/>
        <w:rPr>
          <w:color w:val="000000"/>
        </w:rPr>
      </w:pPr>
      <w:r>
        <w:rPr>
          <w:color w:val="000000"/>
        </w:rPr>
      </w:r>
    </w:p>
    <w:sectPr>
      <w:footerReference w:type="default" r:id="rId2"/>
      <w:type w:val="nextPage"/>
      <w:pgSz w:w="11906" w:h="16838"/>
      <w:pgMar w:left="1304" w:right="1304" w:gutter="0" w:header="0" w:top="1440" w:footer="992" w:bottom="1440"/>
      <w:pgNumType w:fmt="decimal"/>
      <w:formProt w:val="false"/>
      <w:textDirection w:val="lrTb"/>
      <w:docGrid w:type="default" w:linePitch="33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新細明體">
    <w:altName w:val="PMingLiU"/>
    <w:charset w:val="8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- </w:t>
    </w:r>
    <w:r>
      <w:rPr/>
      <w:t>第二部第二章第八節</w:t>
    </w:r>
    <w:r>
      <w:rPr>
        <w:rFonts w:eastAsia="Times New Roman"/>
      </w:rPr>
      <w:t xml:space="preserve"> </w:t>
    </w:r>
    <w:r>
      <w:rPr/>
      <w:t xml:space="preserve">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/>
      <w:t xml:space="preserve"> -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TC" w:cs="Noto Sans CJK TC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60"/>
      <w:textAlignment w:val="baseline"/>
    </w:pPr>
    <w:rPr>
      <w:rFonts w:ascii="Times New Roman" w:hAnsi="Times New Roman" w:eastAsia="標楷體" w:cs="Times New Roman"/>
      <w:color w:val="auto"/>
      <w:sz w:val="24"/>
      <w:szCs w:val="20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autoSpaceDE w:val="false"/>
      <w:spacing w:lineRule="atLeast" w:line="20"/>
      <w:outlineLvl w:val="0"/>
    </w:pPr>
    <w:rPr>
      <w:color w:val="000000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Style13">
    <w:name w:val="預設段落字型"/>
    <w:qFormat/>
    <w:rPr/>
  </w:style>
  <w:style w:type="paragraph" w:styleId="Style14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TC" w:cs="Noto Sans CJK T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T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T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TC"/>
    </w:rPr>
  </w:style>
  <w:style w:type="paragraph" w:styleId="BodyTextIndent">
    <w:name w:val="Body Text Indent"/>
    <w:basedOn w:val="Normal"/>
    <w:pPr>
      <w:autoSpaceDE w:val="false"/>
      <w:spacing w:lineRule="auto" w:line="240"/>
      <w:ind w:hanging="737" w:left="737" w:right="0"/>
    </w:pPr>
    <w:rPr>
      <w:rFonts w:eastAsia="全真楷書;新細明體"/>
      <w:color w:val="000000"/>
    </w:rPr>
  </w:style>
  <w:style w:type="paragraph" w:styleId="2">
    <w:name w:val="本文縮排 2"/>
    <w:basedOn w:val="Normal"/>
    <w:qFormat/>
    <w:pPr>
      <w:autoSpaceDE w:val="false"/>
      <w:spacing w:lineRule="auto" w:line="240"/>
      <w:ind w:hanging="540" w:left="540" w:right="0"/>
    </w:pPr>
    <w:rPr>
      <w:rFonts w:eastAsia="標楷體"/>
      <w:color w:val="00000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21">
    <w:name w:val="本文 2"/>
    <w:basedOn w:val="Normal"/>
    <w:qFormat/>
    <w:pPr>
      <w:autoSpaceDE w:val="false"/>
      <w:spacing w:lineRule="auto" w:line="240"/>
      <w:textAlignment w:val="auto"/>
    </w:pPr>
    <w:rPr>
      <w:color w:val="000000"/>
      <w:kern w:val="2"/>
      <w:szCs w:val="24"/>
    </w:rPr>
  </w:style>
  <w:style w:type="paragraph" w:styleId="3">
    <w:name w:val="本文 3"/>
    <w:basedOn w:val="Normal"/>
    <w:qFormat/>
    <w:pPr>
      <w:autoSpaceDE w:val="false"/>
      <w:spacing w:lineRule="auto" w:line="240"/>
      <w:textAlignment w:val="auto"/>
    </w:pPr>
    <w:rPr>
      <w:rFonts w:eastAsia="新細明體;PMingLiU"/>
      <w:color w:val="000000"/>
      <w:kern w:val="2"/>
      <w:szCs w:val="24"/>
      <w:u w:val="single"/>
    </w:rPr>
  </w:style>
  <w:style w:type="paragraph" w:styleId="Style16">
    <w:name w:val="表格內容"/>
    <w:basedOn w:val="Normal"/>
    <w:qFormat/>
    <w:pPr>
      <w:widowControl w:val="false"/>
      <w:suppressLineNumbers/>
    </w:pPr>
    <w:rPr/>
  </w:style>
  <w:style w:type="paragraph" w:styleId="Style17">
    <w:name w:val="表格標題"/>
    <w:basedOn w:val="Style16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2025-09-01T15:41:00Z</dcterms:created>
  <dc:creator>Win</dc:creator>
  <dc:description/>
  <cp:keywords/>
  <dc:language>zh-TW</dc:language>
  <cp:lastModifiedBy>蔡孟妤</cp:lastModifiedBy>
  <cp:lastPrinted>2022-02-24T09:50:00Z</cp:lastPrinted>
  <dcterms:modified xsi:type="dcterms:W3CDTF">2025-09-02T09:31:00Z</dcterms:modified>
  <cp:revision>6</cp:revision>
  <dc:subject/>
  <dc:title>Ｉ、西醫及牙醫</dc:title>
</cp:coreProperties>
</file>