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Cs w:val="24"/>
        </w:rPr>
      </w:pPr>
      <w:r>
        <w:rPr>
          <w:sz w:val="36"/>
          <w:szCs w:val="36"/>
        </w:rPr>
        <w:t>第</w:t>
      </w:r>
      <w:r>
        <w:rPr>
          <w:sz w:val="36"/>
          <w:szCs w:val="36"/>
        </w:rPr>
        <w:t>九</w:t>
      </w:r>
      <w:r>
        <w:rPr>
          <w:sz w:val="36"/>
          <w:szCs w:val="36"/>
        </w:rPr>
        <w:t>部</w:t>
      </w:r>
      <w:r>
        <w:rPr>
          <w:rFonts w:eastAsia="Times New Roman"/>
          <w:sz w:val="36"/>
          <w:szCs w:val="36"/>
        </w:rPr>
        <w:t xml:space="preserve"> </w:t>
      </w:r>
      <w:r>
        <w:rPr>
          <w:sz w:val="36"/>
          <w:szCs w:val="36"/>
        </w:rPr>
        <w:t>護理人員投入為主之診療項目表</w:t>
      </w:r>
    </w:p>
    <w:p>
      <w:pPr>
        <w:pStyle w:val="Normal"/>
        <w:spacing w:lineRule="exact" w:line="500"/>
        <w:ind w:hanging="767" w:left="767" w:right="0"/>
        <w:rPr>
          <w:sz w:val="28"/>
          <w:szCs w:val="28"/>
        </w:rPr>
      </w:pPr>
      <w:r>
        <w:rPr>
          <w:sz w:val="28"/>
          <w:szCs w:val="28"/>
        </w:rPr>
        <w:t>說明：</w:t>
      </w:r>
    </w:p>
    <w:p>
      <w:pPr>
        <w:pStyle w:val="Normal"/>
        <w:numPr>
          <w:ilvl w:val="0"/>
          <w:numId w:val="1"/>
        </w:numPr>
        <w:spacing w:lineRule="exact" w:line="500"/>
        <w:textAlignment w:val="auto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</w:t>
      </w:r>
      <w:r>
        <w:rPr>
          <w:sz w:val="28"/>
          <w:szCs w:val="28"/>
        </w:rPr>
        <w:t>本表各項診療項目原所屬章節中表列之支付點數，均為包裹性支付，包含直接成本及間接成本。</w:t>
      </w:r>
    </w:p>
    <w:p>
      <w:pPr>
        <w:pStyle w:val="Normal"/>
        <w:numPr>
          <w:ilvl w:val="0"/>
          <w:numId w:val="1"/>
        </w:numPr>
        <w:spacing w:lineRule="exact" w:line="500"/>
        <w:textAlignment w:val="auto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</w:t>
      </w:r>
      <w:r>
        <w:rPr>
          <w:sz w:val="28"/>
          <w:szCs w:val="28"/>
        </w:rPr>
        <w:t>本表僅列出人力投入係以護理人員貢獻為主之診療項目，而非所有護理人員有投入之項目。</w:t>
      </w:r>
    </w:p>
    <w:p>
      <w:pPr>
        <w:pStyle w:val="Normal"/>
        <w:spacing w:lineRule="exact" w:line="500"/>
        <w:ind w:left="360" w:right="0"/>
        <w:textAlignment w:val="auto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35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387"/>
        <w:gridCol w:w="6835"/>
      </w:tblGrid>
      <w:tr>
        <w:trPr>
          <w:tblHeader w:val="true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序號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編號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診療項目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39004C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大量液體點滴注射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林格兒氏液，</w:t>
            </w:r>
            <w:r>
              <w:rPr>
                <w:sz w:val="28"/>
                <w:szCs w:val="28"/>
              </w:rPr>
              <w:t>Rock</w:t>
            </w:r>
            <w:r>
              <w:rPr>
                <w:sz w:val="28"/>
                <w:szCs w:val="28"/>
              </w:rPr>
              <w:t>液，生理食鹽水，葡萄糖液，果榶液或血液代用劑等</w:t>
            </w:r>
            <w:r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>注射。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39010C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藥物敏感反應試驗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39015B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靜脈營養術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天</w:t>
            </w:r>
            <w:r>
              <w:rPr>
                <w:sz w:val="28"/>
                <w:szCs w:val="28"/>
              </w:rPr>
              <w:t>)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39016B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點滴幫浦（天）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39017C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腎上腺素注射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/>
            </w:pPr>
            <w:r>
              <w:rPr>
                <w:sz w:val="28"/>
                <w:szCs w:val="28"/>
              </w:rPr>
              <w:t>47001C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酒精拭浴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47002C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薄荷擦拭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47003C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大量灌腸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47004C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甘油球灌腸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47006C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小量或留置灌腸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47011C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清潔灌腸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47013C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一般導尿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47014C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留置導尿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47018C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鼻胃管灌食一天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47020C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胃減壓一天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47021C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胸腔引流一天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47022C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腹腔引流一天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47024B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食道球處理一天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47032B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心電圖監視器一天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47033B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無侵害性血壓監視器（天）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47037B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冰毯－</w:t>
            </w:r>
            <w:r>
              <w:rPr>
                <w:sz w:val="28"/>
                <w:szCs w:val="28"/>
              </w:rPr>
              <w:t>12</w:t>
            </w:r>
            <w:r>
              <w:rPr>
                <w:sz w:val="28"/>
                <w:szCs w:val="28"/>
              </w:rPr>
              <w:t>小時以內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47038B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冰毯－</w:t>
            </w:r>
            <w:r>
              <w:rPr>
                <w:sz w:val="28"/>
                <w:szCs w:val="28"/>
              </w:rPr>
              <w:t>12~24</w:t>
            </w:r>
            <w:r>
              <w:rPr>
                <w:sz w:val="28"/>
                <w:szCs w:val="28"/>
              </w:rPr>
              <w:t>小時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47039C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熱敷或冷（冰）敷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47041C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呼吸道抽吸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次</w:t>
            </w:r>
            <w:r>
              <w:rPr>
                <w:sz w:val="28"/>
                <w:szCs w:val="28"/>
              </w:rPr>
              <w:t>)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47042C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呼吸道抽吸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天</w:t>
            </w:r>
            <w:r>
              <w:rPr>
                <w:sz w:val="28"/>
                <w:szCs w:val="28"/>
              </w:rPr>
              <w:t>)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47046C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溫水擦拭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47047C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坐浴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47048C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引流管灌洗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47049B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自動體溫控制床使用費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天</w:t>
            </w:r>
            <w:r>
              <w:rPr>
                <w:sz w:val="28"/>
                <w:szCs w:val="28"/>
              </w:rPr>
              <w:t>)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47050B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電動翻轉床使用費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天</w:t>
            </w:r>
            <w:r>
              <w:rPr>
                <w:sz w:val="28"/>
                <w:szCs w:val="28"/>
              </w:rPr>
              <w:t>)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47053B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非電動翻轉床使用費（天）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47062B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餵食幫浦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天</w:t>
            </w:r>
            <w:r>
              <w:rPr>
                <w:sz w:val="28"/>
                <w:szCs w:val="28"/>
              </w:rPr>
              <w:t>)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47066B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造瘻口灌食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天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47070B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烤燈使用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47071B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烤燈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每一天</w:t>
            </w:r>
            <w:r>
              <w:rPr>
                <w:sz w:val="28"/>
                <w:szCs w:val="28"/>
              </w:rPr>
              <w:t>)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47075B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自動止血帶止血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47091B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淋巴水腫照護</w:t>
            </w: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徒手淋巴引流</w:t>
            </w:r>
          </w:p>
        </w:tc>
      </w:tr>
      <w:tr>
        <w:trPr>
          <w:trHeight w:val="794" w:hRule="atLeast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47093B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身體約束之護理監測照護費</w:t>
            </w: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日：使用超過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小時（含），每人每次住院限申報日數為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天。</w:t>
            </w:r>
          </w:p>
        </w:tc>
      </w:tr>
      <w:tr>
        <w:trPr>
          <w:trHeight w:val="850" w:hRule="atLeast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49017C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會陰清洗及瘻管沖洗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51015C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浸泡療法　每次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55009C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會陰沖洗－門診，每次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55010C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會陰沖洗－住院，每日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55011C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陰道灌洗一次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57106C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新生兒光線治療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天</w:t>
            </w:r>
            <w:r>
              <w:rPr>
                <w:sz w:val="28"/>
                <w:szCs w:val="28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304" w:right="1304" w:gutter="0" w:header="0" w:top="1440" w:footer="992" w:bottom="1440"/>
      <w:pgNumType w:fmt="decimal"/>
      <w:formProt w:val="false"/>
      <w:textDirection w:val="lrTb"/>
      <w:docGrid w:type="default" w:linePitch="33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全真楷書">
    <w:altName w:val="新細明體"/>
    <w:charset w:val="88"/>
    <w:family w:val="modern"/>
    <w:pitch w:val="default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- </w:t>
    </w:r>
    <w:r>
      <w:rPr/>
      <w:t>第九部</w:t>
    </w:r>
    <w:r>
      <w:rPr>
        <w:rFonts w:eastAsia="Times New Roman"/>
      </w:rPr>
      <w:t xml:space="preserve"> </w:t>
    </w:r>
    <w:r>
      <w:rPr/>
      <w:t xml:space="preserve">-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-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TC" w:cs="Noto Sans CJK TC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60"/>
      <w:textAlignment w:val="baseline"/>
    </w:pPr>
    <w:rPr>
      <w:rFonts w:ascii="Times New Roman" w:hAnsi="Times New Roman" w:eastAsia="標楷體" w:cs="Times New Roman"/>
      <w:color w:val="auto"/>
      <w:sz w:val="24"/>
      <w:szCs w:val="20"/>
      <w:lang w:val="en-US" w:eastAsia="zh-TW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全真楷書;新細明體" w:hAnsi="全真楷書;新細明體" w:eastAsia="全真楷書;新細明體"/>
    </w:rPr>
  </w:style>
  <w:style w:type="character" w:styleId="WW8Num2z1">
    <w:name w:val="WW8Num2z1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Style14">
    <w:name w:val="預設段落字型"/>
    <w:qFormat/>
    <w:rPr/>
  </w:style>
  <w:style w:type="paragraph" w:styleId="Style1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TC" w:cs="Noto Sans CJK T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T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TC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Noto Sans CJK TC"/>
    </w:rPr>
  </w:style>
  <w:style w:type="paragraph" w:styleId="BodyTextIndent">
    <w:name w:val="Body Text Indent"/>
    <w:basedOn w:val="Normal"/>
    <w:pPr>
      <w:autoSpaceDE w:val="false"/>
      <w:spacing w:lineRule="auto" w:line="240"/>
      <w:ind w:hanging="737" w:left="737" w:right="0"/>
    </w:pPr>
    <w:rPr>
      <w:rFonts w:eastAsia="全真楷書;新細明體"/>
      <w:color w:val="000000"/>
    </w:rPr>
  </w:style>
  <w:style w:type="paragraph" w:styleId="2">
    <w:name w:val="本文縮排 2"/>
    <w:basedOn w:val="Normal"/>
    <w:qFormat/>
    <w:pPr>
      <w:autoSpaceDE w:val="false"/>
      <w:spacing w:lineRule="auto" w:line="240"/>
      <w:ind w:hanging="540" w:left="540" w:right="0"/>
    </w:pPr>
    <w:rPr>
      <w:rFonts w:eastAsia="標楷體"/>
      <w:color w:val="00000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Style17">
    <w:name w:val="表格內容"/>
    <w:basedOn w:val="Normal"/>
    <w:qFormat/>
    <w:pPr>
      <w:widowControl w:val="false"/>
      <w:suppressLineNumbers/>
    </w:pPr>
    <w:rPr/>
  </w:style>
  <w:style w:type="paragraph" w:styleId="Style18">
    <w:name w:val="表格標題"/>
    <w:basedOn w:val="Style17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2005-02-04T10:48:00Z</dcterms:created>
  <dc:creator>Win</dc:creator>
  <dc:description/>
  <cp:keywords/>
  <dc:language>zh-TW</dc:language>
  <cp:lastModifiedBy>NHI</cp:lastModifiedBy>
  <cp:lastPrinted>1999-11-17T16:30:00Z</cp:lastPrinted>
  <dcterms:modified xsi:type="dcterms:W3CDTF">2014-04-24T09:50:00Z</dcterms:modified>
  <cp:revision>22</cp:revision>
  <dc:subject/>
  <dc:title>Ｉ、西醫及牙醫</dc:title>
</cp:coreProperties>
</file>