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7B1D8" w14:textId="77777777" w:rsidR="005F7864" w:rsidRDefault="008F25EE" w:rsidP="00F06691">
      <w:pPr>
        <w:spacing w:line="300" w:lineRule="auto"/>
      </w:pPr>
      <w:r>
        <w:t>Clustering the Planet</w:t>
      </w:r>
    </w:p>
    <w:p w14:paraId="241AD501" w14:textId="010C13EE" w:rsidR="00CA2E30" w:rsidRDefault="00E03CCF" w:rsidP="00F06691">
      <w:pPr>
        <w:spacing w:line="300" w:lineRule="auto"/>
      </w:pPr>
      <w:r>
        <w:t>CS451 HW</w:t>
      </w:r>
      <w:r w:rsidR="00CA2E30">
        <w:t>5</w:t>
      </w:r>
      <w:r w:rsidR="00726658">
        <w:t xml:space="preserve"> Fall 2017</w:t>
      </w:r>
    </w:p>
    <w:p w14:paraId="0EDE9A37" w14:textId="5AC2CCF1" w:rsidR="008F25EE" w:rsidRDefault="008F25EE" w:rsidP="00F06691">
      <w:pPr>
        <w:spacing w:line="300" w:lineRule="auto"/>
      </w:pPr>
      <w:r>
        <w:t xml:space="preserve">Henry </w:t>
      </w:r>
      <w:r w:rsidR="00F613F3">
        <w:t xml:space="preserve">Swaffield </w:t>
      </w:r>
      <w:r>
        <w:t>and Hans</w:t>
      </w:r>
      <w:r w:rsidR="00F613F3">
        <w:t xml:space="preserve"> Goudey</w:t>
      </w:r>
    </w:p>
    <w:p w14:paraId="556B7BF5" w14:textId="77777777" w:rsidR="00A60145" w:rsidRDefault="00A60145" w:rsidP="00F06691">
      <w:pPr>
        <w:spacing w:line="300" w:lineRule="auto"/>
      </w:pPr>
    </w:p>
    <w:p w14:paraId="7AAAB222" w14:textId="7A7224A9" w:rsidR="00344292" w:rsidRDefault="00A60145" w:rsidP="00F06691">
      <w:pPr>
        <w:spacing w:line="300" w:lineRule="auto"/>
      </w:pPr>
      <w:r>
        <w:t>The goal</w:t>
      </w:r>
      <w:r w:rsidR="00DA3864">
        <w:t xml:space="preserve"> of this project was to apply the k-means algorithm, an unsupervised clustering algorithm, in an attempt to group countries by their cultural priorities</w:t>
      </w:r>
      <w:r w:rsidR="00726BE6">
        <w:t>, using UN survey data</w:t>
      </w:r>
      <w:r w:rsidR="00DA3864">
        <w:t>.</w:t>
      </w:r>
      <w:r w:rsidR="00D36A9B">
        <w:t xml:space="preserve"> For the first phase of the project</w:t>
      </w:r>
      <w:r w:rsidR="00264C13">
        <w:t>,</w:t>
      </w:r>
      <w:r w:rsidR="00D36A9B">
        <w:t xml:space="preserve"> we implemented the </w:t>
      </w:r>
      <w:r w:rsidR="00264C13">
        <w:t xml:space="preserve">k-means </w:t>
      </w:r>
      <w:r w:rsidR="00D36A9B">
        <w:t>alg</w:t>
      </w:r>
      <w:r w:rsidR="00264C13">
        <w:t>orithm in P</w:t>
      </w:r>
      <w:r w:rsidR="00D36A9B">
        <w:t>ython and made preliminary visualizations using matplotlib</w:t>
      </w:r>
      <w:r w:rsidR="00897716">
        <w:t>. W</w:t>
      </w:r>
      <w:r w:rsidR="00264C13">
        <w:t xml:space="preserve">e also experimented </w:t>
      </w:r>
      <w:r w:rsidR="0038644D">
        <w:t>by looping through various k-values. W</w:t>
      </w:r>
      <w:r w:rsidR="00D36A9B">
        <w:t xml:space="preserve">e then took our </w:t>
      </w:r>
      <w:r w:rsidR="00264C13">
        <w:t>data-processing</w:t>
      </w:r>
      <w:r w:rsidR="00D36A9B">
        <w:t xml:space="preserve"> to Excel, where we produced the visu</w:t>
      </w:r>
      <w:r w:rsidR="00264C13">
        <w:t>alizations that are seen below.</w:t>
      </w:r>
      <w:r w:rsidR="004D5F9A">
        <w:t xml:space="preserve"> The first question considered was to determine and “ideal” number of clusters, and followi</w:t>
      </w:r>
      <w:r w:rsidR="00116458">
        <w:t xml:space="preserve">ng that is a description of the </w:t>
      </w:r>
      <w:bookmarkStart w:id="0" w:name="_GoBack"/>
      <w:bookmarkEnd w:id="0"/>
      <w:r w:rsidR="004D5F9A">
        <w:t>clusters resulting from that k value.</w:t>
      </w:r>
    </w:p>
    <w:p w14:paraId="42DBCBD0" w14:textId="77777777" w:rsidR="00FB4DED" w:rsidRDefault="00FB4DED" w:rsidP="00F06691">
      <w:pPr>
        <w:spacing w:line="300" w:lineRule="auto"/>
      </w:pPr>
    </w:p>
    <w:p w14:paraId="0180CA80" w14:textId="3732C364" w:rsidR="00344292" w:rsidRDefault="00344292" w:rsidP="00F06691">
      <w:pPr>
        <w:spacing w:line="300" w:lineRule="auto"/>
      </w:pPr>
      <w:r>
        <w:t xml:space="preserve">This is a plot of the cost of the kmeans algorithm </w:t>
      </w:r>
      <w:r w:rsidR="00C22E55">
        <w:t>cost as a function of</w:t>
      </w:r>
      <w:r>
        <w:t xml:space="preserve"> the number of clusters. There isn’t a clear elbow where the cost starts decreasing less, and there is a fair amount of noise in the data, because the algorithm didn’t necessarily reach the global </w:t>
      </w:r>
      <w:r w:rsidR="00FD25A4">
        <w:t>minimum</w:t>
      </w:r>
      <w:r w:rsidR="00494C43">
        <w:t xml:space="preserve"> for that cluster number.</w:t>
      </w:r>
    </w:p>
    <w:p w14:paraId="44E545A0" w14:textId="77777777" w:rsidR="00344292" w:rsidRDefault="00344292" w:rsidP="00F26EF6">
      <w:pPr>
        <w:spacing w:line="300" w:lineRule="auto"/>
        <w:jc w:val="center"/>
      </w:pPr>
      <w:r>
        <w:rPr>
          <w:noProof/>
        </w:rPr>
        <w:drawing>
          <wp:inline distT="0" distB="0" distL="0" distR="0" wp14:anchorId="09D4F38B" wp14:editId="31BB7CE7">
            <wp:extent cx="4148524" cy="241554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ACDCA6" w14:textId="77777777" w:rsidR="00494C43" w:rsidRDefault="00494C43" w:rsidP="00F06691">
      <w:pPr>
        <w:spacing w:line="300" w:lineRule="auto"/>
      </w:pPr>
      <w:r>
        <w:t xml:space="preserve">Because of this noise we decided to run the algorithm multiple times. This allows us to take away some of the per-run variation by just keeping track of the minimum over all of the runs. For smaller centroid numbers, this means that we have likely found the global minimum from the algorithm, but for larger centroid numbers it becomes increasingly less likely that we have found the global minimum. By using the minimum over </w:t>
      </w:r>
      <w:r w:rsidR="00464851">
        <w:t>4</w:t>
      </w:r>
      <w:r>
        <w:t xml:space="preserve"> runs, we have effectively used </w:t>
      </w:r>
      <w:r w:rsidR="00464851">
        <w:t>4</w:t>
      </w:r>
      <w:r>
        <w:t>00 iterations of the kmeans algorithm.</w:t>
      </w:r>
    </w:p>
    <w:p w14:paraId="4499A339" w14:textId="77777777" w:rsidR="008F25EE" w:rsidRDefault="00344292" w:rsidP="00F26EF6">
      <w:pPr>
        <w:spacing w:line="300" w:lineRule="auto"/>
        <w:jc w:val="center"/>
      </w:pPr>
      <w:r>
        <w:rPr>
          <w:noProof/>
        </w:rPr>
        <w:lastRenderedPageBreak/>
        <w:drawing>
          <wp:inline distT="0" distB="0" distL="0" distR="0" wp14:anchorId="2DDE6E4D" wp14:editId="00B380D7">
            <wp:extent cx="4051935" cy="2631440"/>
            <wp:effectExtent l="0" t="0" r="1206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179028" w14:textId="77777777" w:rsidR="00494C43" w:rsidRDefault="00494C43" w:rsidP="00F06691">
      <w:pPr>
        <w:spacing w:line="300" w:lineRule="auto"/>
      </w:pPr>
      <w:r>
        <w:t xml:space="preserve">There’s still no precise elbow, so the choice of cluster number remains somewhat arbitrary. It looks like the rate of decrease of cost lowers </w:t>
      </w:r>
      <w:r w:rsidR="00464851">
        <w:t>at around 4 to 6 clusters. We decided to use 6 clusters so that each cluster was smaller and hopefully more meaningful.</w:t>
      </w:r>
    </w:p>
    <w:p w14:paraId="04022F31" w14:textId="77777777" w:rsidR="0087768B" w:rsidRDefault="00246935" w:rsidP="00F06691">
      <w:pPr>
        <w:spacing w:line="300" w:lineRule="auto"/>
      </w:pPr>
      <w:r>
        <w:tab/>
        <w:t xml:space="preserve">The goal of the kmeans algorithm changes as you increase the number of clusters. The question changes from “How can these countries be categorized?” to “What are </w:t>
      </w:r>
      <w:r w:rsidR="0087768B">
        <w:t>a few countries similar to this country?” as the number of clusters increases from 2 to 97.</w:t>
      </w:r>
    </w:p>
    <w:p w14:paraId="62D92A6A" w14:textId="77777777" w:rsidR="0087768B" w:rsidRDefault="0087768B" w:rsidP="00F06691">
      <w:pPr>
        <w:spacing w:line="300" w:lineRule="auto"/>
      </w:pPr>
    </w:p>
    <w:p w14:paraId="403D0684" w14:textId="4ADBD071" w:rsidR="0087768B" w:rsidRDefault="00CD7797" w:rsidP="00F06691">
      <w:pPr>
        <w:spacing w:line="300" w:lineRule="auto"/>
      </w:pPr>
      <w:r>
        <w:t>At first</w:t>
      </w:r>
      <w:r w:rsidR="005D0176">
        <w:t>,</w:t>
      </w:r>
      <w:r>
        <w:t xml:space="preserve"> we plotted the priorities of the clusters without a reference to the average. This plot shows that in general, humans across the globe tend to </w:t>
      </w:r>
      <w:r w:rsidR="0060238A">
        <w:t>prioritize categories similarly</w:t>
      </w:r>
      <w:r>
        <w:t>.</w:t>
      </w:r>
      <w:r w:rsidR="0060238A">
        <w:t xml:space="preserve"> For example, all clusters tend to prioritize education over phone and internet access. </w:t>
      </w:r>
    </w:p>
    <w:p w14:paraId="002FBFE9" w14:textId="77777777" w:rsidR="00EC1A1F" w:rsidRDefault="00EC1A1F" w:rsidP="00F06691">
      <w:pPr>
        <w:spacing w:line="300" w:lineRule="auto"/>
      </w:pPr>
      <w:r>
        <w:rPr>
          <w:noProof/>
        </w:rPr>
        <w:drawing>
          <wp:inline distT="0" distB="0" distL="0" distR="0" wp14:anchorId="5D919DDF" wp14:editId="36111876">
            <wp:extent cx="5943600" cy="42316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ECE170" w14:textId="77777777" w:rsidR="0060238A" w:rsidRDefault="0060238A" w:rsidP="00F06691">
      <w:pPr>
        <w:spacing w:line="300" w:lineRule="auto"/>
      </w:pPr>
      <w:r>
        <w:rPr>
          <w:noProof/>
        </w:rPr>
        <w:drawing>
          <wp:inline distT="0" distB="0" distL="0" distR="0" wp14:anchorId="78174A69" wp14:editId="48E431FB">
            <wp:extent cx="6109335" cy="5943600"/>
            <wp:effectExtent l="0" t="0" r="1206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93F93B" w14:textId="11CD2A8C" w:rsidR="00F06691" w:rsidRDefault="00F06691" w:rsidP="00F06691">
      <w:pPr>
        <w:spacing w:line="300" w:lineRule="auto"/>
      </w:pPr>
      <w:r>
        <w:t>However, there is still a lot of variation when considering particular categories. To show this, we instead plotted the difference between each cluster’s opinions on the categories and the av</w:t>
      </w:r>
      <w:r>
        <w:t>erage opinion on that category. Each data point measures the difference between that cluster’s opinion about the category and the average opinion from all countries. Here we see that the opinions of the different clusters change a lot in certain categories and less in others.</w:t>
      </w:r>
    </w:p>
    <w:p w14:paraId="06E5F5BC" w14:textId="6AE5A71A" w:rsidR="00F06691" w:rsidRDefault="00F06691" w:rsidP="00F06691">
      <w:pPr>
        <w:spacing w:line="300" w:lineRule="auto"/>
      </w:pPr>
      <w:r>
        <w:tab/>
        <w:t>We can see the abundance of North African, South Asian, and Middle Eastern countries in cluster 3, and that most rich western countries have been grouped in a separate category (cluster 6). The other categories are harder to generalize, but the algorithm has found some similarities.</w:t>
      </w:r>
      <w:r w:rsidR="001D08AD">
        <w:t xml:space="preserve"> Category 4 primarily consists of sub-Saharan African countries.</w:t>
      </w:r>
    </w:p>
    <w:p w14:paraId="2A831EB0" w14:textId="19B5520C" w:rsidR="008F25EE" w:rsidRDefault="00F06691" w:rsidP="00F06691">
      <w:pPr>
        <w:spacing w:line="300" w:lineRule="auto"/>
      </w:pPr>
      <w:r>
        <w:rPr>
          <w:noProof/>
        </w:rPr>
        <w:drawing>
          <wp:inline distT="0" distB="0" distL="0" distR="0" wp14:anchorId="2AC75309" wp14:editId="1061F9B5">
            <wp:extent cx="5937250" cy="6472555"/>
            <wp:effectExtent l="0" t="0" r="6350" b="4445"/>
            <wp:docPr id="9" name="Picture 9" descr="../../../../../../Desktop/Screen%20Shot%202017-11-14%20at%2010.45.3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14%20at%2010.45.33%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6472555"/>
                    </a:xfrm>
                    <a:prstGeom prst="rect">
                      <a:avLst/>
                    </a:prstGeom>
                    <a:noFill/>
                    <a:ln>
                      <a:noFill/>
                    </a:ln>
                  </pic:spPr>
                </pic:pic>
              </a:graphicData>
            </a:graphic>
          </wp:inline>
        </w:drawing>
      </w:r>
    </w:p>
    <w:p w14:paraId="1097E512" w14:textId="79C7E1C5" w:rsidR="00FE6F35" w:rsidRDefault="00F26EF6" w:rsidP="00F06691">
      <w:pPr>
        <w:spacing w:line="300" w:lineRule="auto"/>
      </w:pPr>
      <w:r>
        <w:rPr>
          <w:noProof/>
        </w:rPr>
        <w:drawing>
          <wp:anchor distT="0" distB="0" distL="114300" distR="114300" simplePos="0" relativeHeight="251658240" behindDoc="0" locked="0" layoutInCell="1" allowOverlap="1" wp14:anchorId="1A77F494" wp14:editId="16FD8FCE">
            <wp:simplePos x="0" y="0"/>
            <wp:positionH relativeFrom="column">
              <wp:align>left</wp:align>
            </wp:positionH>
            <wp:positionV relativeFrom="paragraph">
              <wp:align>top</wp:align>
            </wp:positionV>
            <wp:extent cx="5943600" cy="5488940"/>
            <wp:effectExtent l="0" t="0" r="0" b="0"/>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V relativeFrom="margin">
              <wp14:pctHeight>0</wp14:pctHeight>
            </wp14:sizeRelV>
          </wp:anchor>
        </w:drawing>
      </w:r>
      <w:r>
        <w:br w:type="textWrapping" w:clear="all"/>
      </w:r>
    </w:p>
    <w:p w14:paraId="36776AB9" w14:textId="70C54576" w:rsidR="005D0176" w:rsidRDefault="005D0176" w:rsidP="00F06691">
      <w:pPr>
        <w:spacing w:line="300" w:lineRule="auto"/>
      </w:pPr>
      <w:r>
        <w:t>We chose to look more closely at Afghanistan because it was part of cluster 3 which was one of the clusters that was a bit harder to explain than the others. The third cluster was wildly different in many of the categories compared to the other clusters, particularly cluster 1. Even the way Afghanistan compares to cluster 3 is not quite obvious. The prioritization for some of the categories is very similar to the cluster, but for other clusters it is totally different. Cluster 3 contains mostly Middle Eastern, North African, and South Asian countries, which seem to share similar latitudes, s</w:t>
      </w:r>
      <w:r w:rsidR="002D7E9F">
        <w:t>panning great distances from east to west. These countries tend to be Islamic as well, which would suggest political and cultural similarities.</w:t>
      </w:r>
    </w:p>
    <w:p w14:paraId="28098419" w14:textId="585FFDD8" w:rsidR="002D7E9F" w:rsidRDefault="002D7E9F" w:rsidP="00F06691">
      <w:pPr>
        <w:spacing w:line="300" w:lineRule="auto"/>
      </w:pPr>
      <w:r>
        <w:tab/>
        <w:t xml:space="preserve">Some of the categories in which Afghanistan differs more from the views of its cluster could represent priorities with more variation and less correlation with other priorities. Because of this it would be harder for the algorithm to group countries based on the more variant priorities. Following from the pigeon-hole principle and the fact that we have more priorities considered than categories, it’s expected that certain categories would have more selective weight. In this example, perhaps Afghanistan was grouped with countries that agreed more so on the priority of trustworthy government and political freedoms than sanitation and internet access. </w:t>
      </w:r>
    </w:p>
    <w:p w14:paraId="759A3E4D" w14:textId="516F7FC3" w:rsidR="002D7E9F" w:rsidRDefault="002D7E9F" w:rsidP="00F06691">
      <w:pPr>
        <w:spacing w:line="300" w:lineRule="auto"/>
      </w:pPr>
      <w:r>
        <w:tab/>
        <w:t xml:space="preserve">It is </w:t>
      </w:r>
      <w:r w:rsidR="005B1618">
        <w:t xml:space="preserve">somewhat </w:t>
      </w:r>
      <w:r>
        <w:t>o</w:t>
      </w:r>
      <w:r w:rsidR="005B1618">
        <w:t>dd that Jamaica is also grouped in cluster 3. It’s extremely far away, and is neither Islamic nor Asian. However, the point of using an algorithm to group these countries in clusters is to find similarities that we wouldn’t necessarily have looked for or seen ourselves. Using an algorithm can eliminate our own bias and show that maybe Afghanistan and Jamaica aren’t as different as we thought.</w:t>
      </w:r>
    </w:p>
    <w:sectPr w:rsidR="002D7E9F" w:rsidSect="00615B39">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02EF0" w14:textId="77777777" w:rsidR="007F65F8" w:rsidRDefault="007F65F8" w:rsidP="00BE0245">
      <w:r>
        <w:separator/>
      </w:r>
    </w:p>
  </w:endnote>
  <w:endnote w:type="continuationSeparator" w:id="0">
    <w:p w14:paraId="1FE66175" w14:textId="77777777" w:rsidR="007F65F8" w:rsidRDefault="007F65F8" w:rsidP="00BE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3146B" w14:textId="77777777" w:rsidR="00BE0245" w:rsidRDefault="00BE0245" w:rsidP="003C3B2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4D6D79" w14:textId="77777777" w:rsidR="00BE0245" w:rsidRDefault="00BE02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34E5A" w14:textId="77777777" w:rsidR="00BE0245" w:rsidRDefault="00BE0245" w:rsidP="003C3B2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65F8">
      <w:rPr>
        <w:rStyle w:val="PageNumber"/>
        <w:noProof/>
      </w:rPr>
      <w:t>1</w:t>
    </w:r>
    <w:r>
      <w:rPr>
        <w:rStyle w:val="PageNumber"/>
      </w:rPr>
      <w:fldChar w:fldCharType="end"/>
    </w:r>
  </w:p>
  <w:p w14:paraId="778D09C6" w14:textId="77777777" w:rsidR="00BE0245" w:rsidRDefault="00BE02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5C4F07" w14:textId="77777777" w:rsidR="007F65F8" w:rsidRDefault="007F65F8" w:rsidP="00BE0245">
      <w:r>
        <w:separator/>
      </w:r>
    </w:p>
  </w:footnote>
  <w:footnote w:type="continuationSeparator" w:id="0">
    <w:p w14:paraId="589227DC" w14:textId="77777777" w:rsidR="007F65F8" w:rsidRDefault="007F65F8" w:rsidP="00BE02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5EE"/>
    <w:rsid w:val="00080284"/>
    <w:rsid w:val="00116458"/>
    <w:rsid w:val="001D08AD"/>
    <w:rsid w:val="00246935"/>
    <w:rsid w:val="00264C13"/>
    <w:rsid w:val="002754B6"/>
    <w:rsid w:val="00291E7F"/>
    <w:rsid w:val="002D7E9F"/>
    <w:rsid w:val="0032799B"/>
    <w:rsid w:val="00344292"/>
    <w:rsid w:val="00371201"/>
    <w:rsid w:val="0038644D"/>
    <w:rsid w:val="00460D74"/>
    <w:rsid w:val="00464851"/>
    <w:rsid w:val="00494C43"/>
    <w:rsid w:val="004C701A"/>
    <w:rsid w:val="004D5F9A"/>
    <w:rsid w:val="005B1618"/>
    <w:rsid w:val="005D0176"/>
    <w:rsid w:val="0060238A"/>
    <w:rsid w:val="00615B39"/>
    <w:rsid w:val="006621B5"/>
    <w:rsid w:val="00726658"/>
    <w:rsid w:val="00726BE6"/>
    <w:rsid w:val="00744214"/>
    <w:rsid w:val="00780D5C"/>
    <w:rsid w:val="007D772E"/>
    <w:rsid w:val="007F65F8"/>
    <w:rsid w:val="00852ECE"/>
    <w:rsid w:val="0087768B"/>
    <w:rsid w:val="00897716"/>
    <w:rsid w:val="008C6C82"/>
    <w:rsid w:val="008F25EE"/>
    <w:rsid w:val="009054B8"/>
    <w:rsid w:val="009300DA"/>
    <w:rsid w:val="00A20821"/>
    <w:rsid w:val="00A44D2E"/>
    <w:rsid w:val="00A60145"/>
    <w:rsid w:val="00AB46F7"/>
    <w:rsid w:val="00B27B04"/>
    <w:rsid w:val="00B84F8D"/>
    <w:rsid w:val="00BE0245"/>
    <w:rsid w:val="00C20058"/>
    <w:rsid w:val="00C22E55"/>
    <w:rsid w:val="00CA2E30"/>
    <w:rsid w:val="00CD7797"/>
    <w:rsid w:val="00CF35E3"/>
    <w:rsid w:val="00D135D0"/>
    <w:rsid w:val="00D36A9B"/>
    <w:rsid w:val="00D71117"/>
    <w:rsid w:val="00DA3864"/>
    <w:rsid w:val="00DB6240"/>
    <w:rsid w:val="00DF26BA"/>
    <w:rsid w:val="00E03CCF"/>
    <w:rsid w:val="00EC1A1F"/>
    <w:rsid w:val="00F06691"/>
    <w:rsid w:val="00F1686E"/>
    <w:rsid w:val="00F26EF6"/>
    <w:rsid w:val="00F613F3"/>
    <w:rsid w:val="00FB4DED"/>
    <w:rsid w:val="00FD25A4"/>
    <w:rsid w:val="00FE6F35"/>
    <w:rsid w:val="00FF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8C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245"/>
    <w:pPr>
      <w:tabs>
        <w:tab w:val="center" w:pos="4680"/>
        <w:tab w:val="right" w:pos="9360"/>
      </w:tabs>
    </w:pPr>
  </w:style>
  <w:style w:type="character" w:customStyle="1" w:styleId="HeaderChar">
    <w:name w:val="Header Char"/>
    <w:basedOn w:val="DefaultParagraphFont"/>
    <w:link w:val="Header"/>
    <w:uiPriority w:val="99"/>
    <w:rsid w:val="00BE0245"/>
  </w:style>
  <w:style w:type="paragraph" w:styleId="Footer">
    <w:name w:val="footer"/>
    <w:basedOn w:val="Normal"/>
    <w:link w:val="FooterChar"/>
    <w:uiPriority w:val="99"/>
    <w:unhideWhenUsed/>
    <w:rsid w:val="00BE0245"/>
    <w:pPr>
      <w:tabs>
        <w:tab w:val="center" w:pos="4680"/>
        <w:tab w:val="right" w:pos="9360"/>
      </w:tabs>
    </w:pPr>
  </w:style>
  <w:style w:type="character" w:customStyle="1" w:styleId="FooterChar">
    <w:name w:val="Footer Char"/>
    <w:basedOn w:val="DefaultParagraphFont"/>
    <w:link w:val="Footer"/>
    <w:uiPriority w:val="99"/>
    <w:rsid w:val="00BE0245"/>
  </w:style>
  <w:style w:type="character" w:styleId="PageNumber">
    <w:name w:val="page number"/>
    <w:basedOn w:val="DefaultParagraphFont"/>
    <w:uiPriority w:val="99"/>
    <w:semiHidden/>
    <w:unhideWhenUsed/>
    <w:rsid w:val="00BE0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3489">
      <w:bodyDiv w:val="1"/>
      <w:marLeft w:val="0"/>
      <w:marRight w:val="0"/>
      <w:marTop w:val="0"/>
      <w:marBottom w:val="0"/>
      <w:divBdr>
        <w:top w:val="none" w:sz="0" w:space="0" w:color="auto"/>
        <w:left w:val="none" w:sz="0" w:space="0" w:color="auto"/>
        <w:bottom w:val="none" w:sz="0" w:space="0" w:color="auto"/>
        <w:right w:val="none" w:sz="0" w:space="0" w:color="auto"/>
      </w:divBdr>
    </w:div>
    <w:div w:id="1645548123">
      <w:bodyDiv w:val="1"/>
      <w:marLeft w:val="0"/>
      <w:marRight w:val="0"/>
      <w:marTop w:val="0"/>
      <w:marBottom w:val="0"/>
      <w:divBdr>
        <w:top w:val="none" w:sz="0" w:space="0" w:color="auto"/>
        <w:left w:val="none" w:sz="0" w:space="0" w:color="auto"/>
        <w:bottom w:val="none" w:sz="0" w:space="0" w:color="auto"/>
        <w:right w:val="none" w:sz="0" w:space="0" w:color="auto"/>
      </w:divBdr>
    </w:div>
    <w:div w:id="1665158654">
      <w:bodyDiv w:val="1"/>
      <w:marLeft w:val="0"/>
      <w:marRight w:val="0"/>
      <w:marTop w:val="0"/>
      <w:marBottom w:val="0"/>
      <w:divBdr>
        <w:top w:val="none" w:sz="0" w:space="0" w:color="auto"/>
        <w:left w:val="none" w:sz="0" w:space="0" w:color="auto"/>
        <w:bottom w:val="none" w:sz="0" w:space="0" w:color="auto"/>
        <w:right w:val="none" w:sz="0" w:space="0" w:color="auto"/>
      </w:divBdr>
    </w:div>
    <w:div w:id="1836989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chart" Target="charts/chart5.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HenrySwaffield/Documents/Middlebury%20Senior%20Year/fall/CS451/hw5_workspace/cs451-hw5/hw5_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HenrySwaffield/Documents/Middlebury%20Senior%20Year/fall/CS451/hw5_workspace/cs451-hw5/hw5_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HenrySwaffield/Documents/Middlebury%20Senior%20Year/fall/CS451/hw5_workspace/cs451-hw5/hw5_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HenrySwaffield/Documents/Middlebury%20Senior%20Year/fall/CS451/hw5_workspace/cs451-hw5/hw5_data.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HenrySwaffield/Documents/Middlebury%20Senior%20Year/fall/CS451/hw5_workspace/cs451-hw5/hw5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solidFill>
                <a:latin typeface="+mn-lt"/>
                <a:ea typeface="+mn-ea"/>
                <a:cs typeface="+mn-cs"/>
              </a:defRPr>
            </a:pPr>
            <a:r>
              <a:rPr lang="en-US"/>
              <a:t>Cost vs. # Clusters</a:t>
            </a:r>
          </a:p>
        </c:rich>
      </c:tx>
      <c:layout/>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costs</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Sheet1!$B$2:$B$31</c:f>
              <c:numCache>
                <c:formatCode>General</c:formatCode>
                <c:ptCount val="30"/>
                <c:pt idx="0">
                  <c:v>0.00417395147647</c:v>
                </c:pt>
                <c:pt idx="1">
                  <c:v>0.00322215497566</c:v>
                </c:pt>
                <c:pt idx="2">
                  <c:v>0.00285485430064</c:v>
                </c:pt>
                <c:pt idx="3">
                  <c:v>0.00274876478515</c:v>
                </c:pt>
                <c:pt idx="4">
                  <c:v>0.00244361591071</c:v>
                </c:pt>
                <c:pt idx="5">
                  <c:v>0.00239309391564</c:v>
                </c:pt>
                <c:pt idx="6">
                  <c:v>0.00230326033681</c:v>
                </c:pt>
                <c:pt idx="7">
                  <c:v>0.00224177810671</c:v>
                </c:pt>
                <c:pt idx="8">
                  <c:v>0.00221635588286</c:v>
                </c:pt>
                <c:pt idx="9">
                  <c:v>0.00201467098493</c:v>
                </c:pt>
                <c:pt idx="10">
                  <c:v>0.00203679934078</c:v>
                </c:pt>
                <c:pt idx="11">
                  <c:v>0.00194427588872</c:v>
                </c:pt>
                <c:pt idx="12">
                  <c:v>0.0018894330909</c:v>
                </c:pt>
                <c:pt idx="13">
                  <c:v>0.0018558608018</c:v>
                </c:pt>
                <c:pt idx="14">
                  <c:v>0.00173843640817</c:v>
                </c:pt>
                <c:pt idx="15">
                  <c:v>0.00172638217851</c:v>
                </c:pt>
                <c:pt idx="16">
                  <c:v>0.00167969991069</c:v>
                </c:pt>
                <c:pt idx="17">
                  <c:v>0.00167860279384</c:v>
                </c:pt>
                <c:pt idx="18">
                  <c:v>0.00166121809746</c:v>
                </c:pt>
                <c:pt idx="19">
                  <c:v>0.0016245404928</c:v>
                </c:pt>
                <c:pt idx="20">
                  <c:v>0.00157669338068</c:v>
                </c:pt>
                <c:pt idx="21">
                  <c:v>0.00154504805731</c:v>
                </c:pt>
                <c:pt idx="22">
                  <c:v>0.00161863768322</c:v>
                </c:pt>
                <c:pt idx="23">
                  <c:v>0.00151271077229</c:v>
                </c:pt>
                <c:pt idx="24">
                  <c:v>0.00142700013434</c:v>
                </c:pt>
                <c:pt idx="25">
                  <c:v>0.0013706330678</c:v>
                </c:pt>
                <c:pt idx="26">
                  <c:v>0.0014624674827</c:v>
                </c:pt>
                <c:pt idx="27">
                  <c:v>0.00145557663831</c:v>
                </c:pt>
                <c:pt idx="28">
                  <c:v>0.00140409167985</c:v>
                </c:pt>
                <c:pt idx="29">
                  <c:v>0.00140503341864</c:v>
                </c:pt>
              </c:numCache>
            </c:numRef>
          </c:yVal>
          <c:smooth val="0"/>
        </c:ser>
        <c:dLbls>
          <c:showLegendKey val="0"/>
          <c:showVal val="0"/>
          <c:showCatName val="0"/>
          <c:showSerName val="0"/>
          <c:showPercent val="0"/>
          <c:showBubbleSize val="0"/>
        </c:dLbls>
        <c:axId val="1232387360"/>
        <c:axId val="1128928992"/>
      </c:scatterChart>
      <c:valAx>
        <c:axId val="123238736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1128928992"/>
        <c:crosses val="autoZero"/>
        <c:crossBetween val="midCat"/>
      </c:valAx>
      <c:valAx>
        <c:axId val="112892899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123238736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n>
            <a:noFill/>
          </a:ln>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Minimum Cost over 4 runs vs. # Clusters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Sheet5!$F$1</c:f>
              <c:strCache>
                <c:ptCount val="1"/>
                <c:pt idx="0">
                  <c:v>avg</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Sheet5!$A$2:$A$31</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Sheet5!$F$2:$F$31</c:f>
              <c:numCache>
                <c:formatCode>General</c:formatCode>
                <c:ptCount val="30"/>
                <c:pt idx="0">
                  <c:v>0.00417395147647</c:v>
                </c:pt>
                <c:pt idx="1">
                  <c:v>0.00322215497566</c:v>
                </c:pt>
                <c:pt idx="2">
                  <c:v>0.00285137103286</c:v>
                </c:pt>
                <c:pt idx="3">
                  <c:v>0.00257407994603</c:v>
                </c:pt>
                <c:pt idx="4">
                  <c:v>0.00244361591071</c:v>
                </c:pt>
                <c:pt idx="5">
                  <c:v>0.00234185441067</c:v>
                </c:pt>
                <c:pt idx="6">
                  <c:v>0.00224533196098</c:v>
                </c:pt>
                <c:pt idx="7">
                  <c:v>0.00213349341995</c:v>
                </c:pt>
                <c:pt idx="8">
                  <c:v>0.00209275132701</c:v>
                </c:pt>
                <c:pt idx="9">
                  <c:v>0.00201467098493</c:v>
                </c:pt>
                <c:pt idx="10">
                  <c:v>0.00192765191678</c:v>
                </c:pt>
                <c:pt idx="11">
                  <c:v>0.00188105977861</c:v>
                </c:pt>
                <c:pt idx="12">
                  <c:v>0.00187663165253</c:v>
                </c:pt>
                <c:pt idx="13">
                  <c:v>0.00179912813043</c:v>
                </c:pt>
                <c:pt idx="14">
                  <c:v>0.00169248658608</c:v>
                </c:pt>
                <c:pt idx="15">
                  <c:v>0.00172638217851</c:v>
                </c:pt>
                <c:pt idx="16">
                  <c:v>0.00167969991069</c:v>
                </c:pt>
                <c:pt idx="17">
                  <c:v>0.00166033489031</c:v>
                </c:pt>
                <c:pt idx="18">
                  <c:v>0.00160920905771</c:v>
                </c:pt>
                <c:pt idx="19">
                  <c:v>0.0016245404928</c:v>
                </c:pt>
                <c:pt idx="20">
                  <c:v>0.00157669338068</c:v>
                </c:pt>
                <c:pt idx="21">
                  <c:v>0.00154504805731</c:v>
                </c:pt>
                <c:pt idx="22">
                  <c:v>0.00155629476953</c:v>
                </c:pt>
                <c:pt idx="23">
                  <c:v>0.0014639759732</c:v>
                </c:pt>
                <c:pt idx="24">
                  <c:v>0.00142700013434</c:v>
                </c:pt>
                <c:pt idx="25">
                  <c:v>0.0013706330678</c:v>
                </c:pt>
                <c:pt idx="26">
                  <c:v>0.00142089384695</c:v>
                </c:pt>
                <c:pt idx="27">
                  <c:v>0.00133453508865</c:v>
                </c:pt>
                <c:pt idx="28">
                  <c:v>0.00136478152183</c:v>
                </c:pt>
                <c:pt idx="29">
                  <c:v>0.00131852729925</c:v>
                </c:pt>
              </c:numCache>
            </c:numRef>
          </c:yVal>
          <c:smooth val="0"/>
        </c:ser>
        <c:dLbls>
          <c:showLegendKey val="0"/>
          <c:showVal val="0"/>
          <c:showCatName val="0"/>
          <c:showSerName val="0"/>
          <c:showPercent val="0"/>
          <c:showBubbleSize val="0"/>
        </c:dLbls>
        <c:axId val="1142713568"/>
        <c:axId val="1103116032"/>
      </c:scatterChart>
      <c:valAx>
        <c:axId val="1142713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3116032"/>
        <c:crosses val="autoZero"/>
        <c:crossBetween val="midCat"/>
      </c:valAx>
      <c:valAx>
        <c:axId val="110311603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271356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Priorities in the</a:t>
            </a:r>
            <a:r>
              <a:rPr lang="en-US" baseline="0"/>
              <a:t> Clusters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Sheet6!$B$1</c:f>
              <c:strCache>
                <c:ptCount val="1"/>
                <c:pt idx="0">
                  <c:v>Cluster1</c:v>
                </c:pt>
              </c:strCache>
            </c:strRef>
          </c:tx>
          <c:spPr>
            <a:ln w="28575" cap="rnd">
              <a:solidFill>
                <a:schemeClr val="accent1"/>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Sheet6!$B$2:$B$17</c:f>
              <c:numCache>
                <c:formatCode>General</c:formatCode>
                <c:ptCount val="16"/>
                <c:pt idx="0">
                  <c:v>0.02861558</c:v>
                </c:pt>
                <c:pt idx="1">
                  <c:v>0.05241055</c:v>
                </c:pt>
                <c:pt idx="2">
                  <c:v>0.0568852</c:v>
                </c:pt>
                <c:pt idx="3">
                  <c:v>0.06186718</c:v>
                </c:pt>
                <c:pt idx="4">
                  <c:v>0.11086002</c:v>
                </c:pt>
                <c:pt idx="5">
                  <c:v>0.12847091</c:v>
                </c:pt>
                <c:pt idx="6">
                  <c:v>0.07580492</c:v>
                </c:pt>
                <c:pt idx="7">
                  <c:v>0.03853455</c:v>
                </c:pt>
                <c:pt idx="8">
                  <c:v>0.03123011</c:v>
                </c:pt>
                <c:pt idx="9">
                  <c:v>0.0664278</c:v>
                </c:pt>
                <c:pt idx="10">
                  <c:v>0.03801077</c:v>
                </c:pt>
                <c:pt idx="11">
                  <c:v>0.07205729</c:v>
                </c:pt>
                <c:pt idx="12">
                  <c:v>0.03330443</c:v>
                </c:pt>
                <c:pt idx="13">
                  <c:v>0.04628986</c:v>
                </c:pt>
                <c:pt idx="14">
                  <c:v>0.04495782</c:v>
                </c:pt>
                <c:pt idx="15">
                  <c:v>0.11427302</c:v>
                </c:pt>
              </c:numCache>
            </c:numRef>
          </c:val>
          <c:smooth val="0"/>
        </c:ser>
        <c:ser>
          <c:idx val="1"/>
          <c:order val="1"/>
          <c:tx>
            <c:strRef>
              <c:f>Sheet6!$C$1</c:f>
              <c:strCache>
                <c:ptCount val="1"/>
                <c:pt idx="0">
                  <c:v>2</c:v>
                </c:pt>
              </c:strCache>
            </c:strRef>
          </c:tx>
          <c:spPr>
            <a:ln w="28575" cap="rnd">
              <a:solidFill>
                <a:schemeClr val="accent2"/>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Sheet6!$C$2:$C$17</c:f>
              <c:numCache>
                <c:formatCode>General</c:formatCode>
                <c:ptCount val="16"/>
                <c:pt idx="0">
                  <c:v>0.03871307</c:v>
                </c:pt>
                <c:pt idx="1">
                  <c:v>0.05050235</c:v>
                </c:pt>
                <c:pt idx="2">
                  <c:v>0.05403764</c:v>
                </c:pt>
                <c:pt idx="3">
                  <c:v>0.07209651</c:v>
                </c:pt>
                <c:pt idx="4">
                  <c:v>0.09091002</c:v>
                </c:pt>
                <c:pt idx="5">
                  <c:v>0.11087779</c:v>
                </c:pt>
                <c:pt idx="6">
                  <c:v>0.07995031</c:v>
                </c:pt>
                <c:pt idx="7">
                  <c:v>0.04519213</c:v>
                </c:pt>
                <c:pt idx="8">
                  <c:v>0.03926656</c:v>
                </c:pt>
                <c:pt idx="9">
                  <c:v>0.06534948</c:v>
                </c:pt>
                <c:pt idx="10">
                  <c:v>0.0460333</c:v>
                </c:pt>
                <c:pt idx="11">
                  <c:v>0.07340958</c:v>
                </c:pt>
                <c:pt idx="12">
                  <c:v>0.04597954</c:v>
                </c:pt>
                <c:pt idx="13">
                  <c:v>0.05312661</c:v>
                </c:pt>
                <c:pt idx="14">
                  <c:v>0.05162386</c:v>
                </c:pt>
                <c:pt idx="15">
                  <c:v>0.08293124</c:v>
                </c:pt>
              </c:numCache>
            </c:numRef>
          </c:val>
          <c:smooth val="0"/>
        </c:ser>
        <c:ser>
          <c:idx val="2"/>
          <c:order val="2"/>
          <c:tx>
            <c:strRef>
              <c:f>Sheet6!$D$1</c:f>
              <c:strCache>
                <c:ptCount val="1"/>
                <c:pt idx="0">
                  <c:v>3</c:v>
                </c:pt>
              </c:strCache>
            </c:strRef>
          </c:tx>
          <c:spPr>
            <a:ln w="28575" cap="rnd">
              <a:solidFill>
                <a:schemeClr val="accent3"/>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Sheet6!$D$2:$D$17</c:f>
              <c:numCache>
                <c:formatCode>General</c:formatCode>
                <c:ptCount val="16"/>
                <c:pt idx="0">
                  <c:v>0.07216034</c:v>
                </c:pt>
                <c:pt idx="1">
                  <c:v>0.01823565</c:v>
                </c:pt>
                <c:pt idx="2">
                  <c:v>0.02777825</c:v>
                </c:pt>
                <c:pt idx="3">
                  <c:v>0.09299399</c:v>
                </c:pt>
                <c:pt idx="4">
                  <c:v>0.06820864</c:v>
                </c:pt>
                <c:pt idx="5">
                  <c:v>0.10904122</c:v>
                </c:pt>
                <c:pt idx="6">
                  <c:v>0.08603995</c:v>
                </c:pt>
                <c:pt idx="7">
                  <c:v>0.02470268</c:v>
                </c:pt>
                <c:pt idx="8">
                  <c:v>0.02748116</c:v>
                </c:pt>
                <c:pt idx="9">
                  <c:v>0.08114283</c:v>
                </c:pt>
                <c:pt idx="10">
                  <c:v>0.08009188</c:v>
                </c:pt>
                <c:pt idx="11">
                  <c:v>0.06785689</c:v>
                </c:pt>
                <c:pt idx="12">
                  <c:v>0.05433443</c:v>
                </c:pt>
                <c:pt idx="13">
                  <c:v>0.0749338</c:v>
                </c:pt>
                <c:pt idx="14">
                  <c:v>0.06890861</c:v>
                </c:pt>
                <c:pt idx="15">
                  <c:v>0.04608969</c:v>
                </c:pt>
              </c:numCache>
            </c:numRef>
          </c:val>
          <c:smooth val="0"/>
        </c:ser>
        <c:ser>
          <c:idx val="3"/>
          <c:order val="3"/>
          <c:tx>
            <c:strRef>
              <c:f>Sheet6!$E$1</c:f>
              <c:strCache>
                <c:ptCount val="1"/>
                <c:pt idx="0">
                  <c:v>4</c:v>
                </c:pt>
              </c:strCache>
            </c:strRef>
          </c:tx>
          <c:spPr>
            <a:ln w="28575" cap="rnd">
              <a:solidFill>
                <a:schemeClr val="accent4"/>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Sheet6!$E$2:$E$17</c:f>
              <c:numCache>
                <c:formatCode>General</c:formatCode>
                <c:ptCount val="16"/>
                <c:pt idx="0">
                  <c:v>0.03782817</c:v>
                </c:pt>
                <c:pt idx="1">
                  <c:v>0.0374967</c:v>
                </c:pt>
                <c:pt idx="2">
                  <c:v>0.03765363</c:v>
                </c:pt>
                <c:pt idx="3">
                  <c:v>0.06498589</c:v>
                </c:pt>
                <c:pt idx="4">
                  <c:v>0.10232274</c:v>
                </c:pt>
                <c:pt idx="5">
                  <c:v>0.10898007</c:v>
                </c:pt>
                <c:pt idx="6">
                  <c:v>0.1075039</c:v>
                </c:pt>
                <c:pt idx="7">
                  <c:v>0.02803279</c:v>
                </c:pt>
                <c:pt idx="8">
                  <c:v>0.02628026</c:v>
                </c:pt>
                <c:pt idx="9">
                  <c:v>0.06988867</c:v>
                </c:pt>
                <c:pt idx="10">
                  <c:v>0.07266316</c:v>
                </c:pt>
                <c:pt idx="11">
                  <c:v>0.1020432</c:v>
                </c:pt>
                <c:pt idx="12">
                  <c:v>0.03840921</c:v>
                </c:pt>
                <c:pt idx="13">
                  <c:v>0.06246473</c:v>
                </c:pt>
                <c:pt idx="14">
                  <c:v>0.0370169</c:v>
                </c:pt>
                <c:pt idx="15">
                  <c:v>0.06642998</c:v>
                </c:pt>
              </c:numCache>
            </c:numRef>
          </c:val>
          <c:smooth val="0"/>
        </c:ser>
        <c:ser>
          <c:idx val="4"/>
          <c:order val="4"/>
          <c:tx>
            <c:strRef>
              <c:f>Sheet6!$F$1</c:f>
              <c:strCache>
                <c:ptCount val="1"/>
                <c:pt idx="0">
                  <c:v>5</c:v>
                </c:pt>
              </c:strCache>
            </c:strRef>
          </c:tx>
          <c:spPr>
            <a:ln w="28575" cap="rnd">
              <a:solidFill>
                <a:schemeClr val="accent5"/>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Sheet6!$F$2:$F$17</c:f>
              <c:numCache>
                <c:formatCode>General</c:formatCode>
                <c:ptCount val="16"/>
                <c:pt idx="0">
                  <c:v>0.05477439</c:v>
                </c:pt>
                <c:pt idx="1">
                  <c:v>0.02899138</c:v>
                </c:pt>
                <c:pt idx="2">
                  <c:v>0.03459181</c:v>
                </c:pt>
                <c:pt idx="3">
                  <c:v>0.08239499</c:v>
                </c:pt>
                <c:pt idx="4">
                  <c:v>0.09227116</c:v>
                </c:pt>
                <c:pt idx="5">
                  <c:v>0.12446887</c:v>
                </c:pt>
                <c:pt idx="6">
                  <c:v>0.0870253</c:v>
                </c:pt>
                <c:pt idx="7">
                  <c:v>0.02431068</c:v>
                </c:pt>
                <c:pt idx="8">
                  <c:v>0.02712242</c:v>
                </c:pt>
                <c:pt idx="9">
                  <c:v>0.07894634</c:v>
                </c:pt>
                <c:pt idx="10">
                  <c:v>0.06936266</c:v>
                </c:pt>
                <c:pt idx="11">
                  <c:v>0.08258314</c:v>
                </c:pt>
                <c:pt idx="12">
                  <c:v>0.02855195</c:v>
                </c:pt>
                <c:pt idx="13">
                  <c:v>0.05185931</c:v>
                </c:pt>
                <c:pt idx="14">
                  <c:v>0.05494616</c:v>
                </c:pt>
                <c:pt idx="15">
                  <c:v>0.07779944</c:v>
                </c:pt>
              </c:numCache>
            </c:numRef>
          </c:val>
          <c:smooth val="0"/>
        </c:ser>
        <c:ser>
          <c:idx val="5"/>
          <c:order val="5"/>
          <c:tx>
            <c:strRef>
              <c:f>Sheet6!$G$1</c:f>
              <c:strCache>
                <c:ptCount val="1"/>
                <c:pt idx="0">
                  <c:v>6</c:v>
                </c:pt>
              </c:strCache>
            </c:strRef>
          </c:tx>
          <c:spPr>
            <a:ln w="28575" cap="rnd">
              <a:solidFill>
                <a:schemeClr val="accent6"/>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Sheet6!$G$2:$G$17</c:f>
              <c:numCache>
                <c:formatCode>General</c:formatCode>
                <c:ptCount val="16"/>
                <c:pt idx="0">
                  <c:v>0.04624588</c:v>
                </c:pt>
                <c:pt idx="1">
                  <c:v>0.03607199</c:v>
                </c:pt>
                <c:pt idx="2">
                  <c:v>0.03981853</c:v>
                </c:pt>
                <c:pt idx="3">
                  <c:v>0.06159765</c:v>
                </c:pt>
                <c:pt idx="4">
                  <c:v>0.09238155</c:v>
                </c:pt>
                <c:pt idx="5">
                  <c:v>0.11220329</c:v>
                </c:pt>
                <c:pt idx="6">
                  <c:v>0.09079019</c:v>
                </c:pt>
                <c:pt idx="7">
                  <c:v>0.03535374</c:v>
                </c:pt>
                <c:pt idx="8">
                  <c:v>0.03089786</c:v>
                </c:pt>
                <c:pt idx="9">
                  <c:v>0.06376724</c:v>
                </c:pt>
                <c:pt idx="10">
                  <c:v>0.0657817</c:v>
                </c:pt>
                <c:pt idx="11">
                  <c:v>0.07783888</c:v>
                </c:pt>
                <c:pt idx="12">
                  <c:v>0.04812258</c:v>
                </c:pt>
                <c:pt idx="13">
                  <c:v>0.06197291</c:v>
                </c:pt>
                <c:pt idx="14">
                  <c:v>0.05243744</c:v>
                </c:pt>
                <c:pt idx="15">
                  <c:v>0.08471858</c:v>
                </c:pt>
              </c:numCache>
            </c:numRef>
          </c:val>
          <c:smooth val="0"/>
        </c:ser>
        <c:ser>
          <c:idx val="6"/>
          <c:order val="6"/>
          <c:tx>
            <c:strRef>
              <c:f>Sheet6!$H$1</c:f>
              <c:strCache>
                <c:ptCount val="1"/>
                <c:pt idx="0">
                  <c:v>Average</c:v>
                </c:pt>
              </c:strCache>
            </c:strRef>
          </c:tx>
          <c:spPr>
            <a:ln w="28575" cap="rnd">
              <a:solidFill>
                <a:schemeClr val="accent1">
                  <a:lumMod val="60000"/>
                </a:schemeClr>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Sheet6!$H$2:$H$17</c:f>
              <c:numCache>
                <c:formatCode>General</c:formatCode>
                <c:ptCount val="16"/>
                <c:pt idx="0">
                  <c:v>0.04429545</c:v>
                </c:pt>
                <c:pt idx="1">
                  <c:v>0.04036232</c:v>
                </c:pt>
                <c:pt idx="2">
                  <c:v>0.04492273</c:v>
                </c:pt>
                <c:pt idx="3">
                  <c:v>0.07179353</c:v>
                </c:pt>
                <c:pt idx="4">
                  <c:v>0.09368864</c:v>
                </c:pt>
                <c:pt idx="5">
                  <c:v>0.1166371</c:v>
                </c:pt>
                <c:pt idx="6">
                  <c:v>0.08464345</c:v>
                </c:pt>
                <c:pt idx="7">
                  <c:v>0.03522813</c:v>
                </c:pt>
                <c:pt idx="8">
                  <c:v>0.03197616</c:v>
                </c:pt>
                <c:pt idx="9">
                  <c:v>0.06964062</c:v>
                </c:pt>
                <c:pt idx="10">
                  <c:v>0.05723337</c:v>
                </c:pt>
                <c:pt idx="11">
                  <c:v>0.07668642</c:v>
                </c:pt>
                <c:pt idx="12">
                  <c:v>0.04129617</c:v>
                </c:pt>
                <c:pt idx="13">
                  <c:v>0.05611144</c:v>
                </c:pt>
                <c:pt idx="14">
                  <c:v>0.05191713</c:v>
                </c:pt>
                <c:pt idx="15">
                  <c:v>0.08356735</c:v>
                </c:pt>
              </c:numCache>
            </c:numRef>
          </c:val>
          <c:smooth val="0"/>
        </c:ser>
        <c:dLbls>
          <c:showLegendKey val="0"/>
          <c:showVal val="0"/>
          <c:showCatName val="0"/>
          <c:showSerName val="0"/>
          <c:showPercent val="0"/>
          <c:showBubbleSize val="0"/>
        </c:dLbls>
        <c:smooth val="0"/>
        <c:axId val="1182835024"/>
        <c:axId val="712850160"/>
      </c:lineChart>
      <c:catAx>
        <c:axId val="118283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850160"/>
        <c:crosses val="autoZero"/>
        <c:auto val="1"/>
        <c:lblAlgn val="ctr"/>
        <c:lblOffset val="100"/>
        <c:noMultiLvlLbl val="0"/>
      </c:catAx>
      <c:valAx>
        <c:axId val="712850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83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a:t>
            </a:r>
            <a:r>
              <a:rPr lang="en-US" baseline="0"/>
              <a:t> from Average Caring of all Countries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Sheet6!$J$1</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Sheet6!$J$2:$J$17</c:f>
              <c:numCache>
                <c:formatCode>General</c:formatCode>
                <c:ptCount val="16"/>
                <c:pt idx="0">
                  <c:v>-0.01567987</c:v>
                </c:pt>
                <c:pt idx="1">
                  <c:v>0.01204823</c:v>
                </c:pt>
                <c:pt idx="2">
                  <c:v>0.01196247</c:v>
                </c:pt>
                <c:pt idx="3">
                  <c:v>-0.00992634999999999</c:v>
                </c:pt>
                <c:pt idx="4">
                  <c:v>0.01717138</c:v>
                </c:pt>
                <c:pt idx="5">
                  <c:v>0.01183381</c:v>
                </c:pt>
                <c:pt idx="6">
                  <c:v>-0.00883853</c:v>
                </c:pt>
                <c:pt idx="7">
                  <c:v>0.00330642</c:v>
                </c:pt>
                <c:pt idx="8">
                  <c:v>-0.000746050000000005</c:v>
                </c:pt>
                <c:pt idx="9">
                  <c:v>-0.00321282</c:v>
                </c:pt>
                <c:pt idx="10">
                  <c:v>-0.0192226</c:v>
                </c:pt>
                <c:pt idx="11">
                  <c:v>-0.00462913000000001</c:v>
                </c:pt>
                <c:pt idx="12">
                  <c:v>-0.00799173999999999</c:v>
                </c:pt>
                <c:pt idx="13">
                  <c:v>-0.00982157999999999</c:v>
                </c:pt>
                <c:pt idx="14">
                  <c:v>-0.00695930999999999</c:v>
                </c:pt>
                <c:pt idx="15">
                  <c:v>0.03070567</c:v>
                </c:pt>
              </c:numCache>
            </c:numRef>
          </c:val>
          <c:smooth val="0"/>
        </c:ser>
        <c:ser>
          <c:idx val="1"/>
          <c:order val="1"/>
          <c:tx>
            <c:strRef>
              <c:f>Sheet6!$K$1</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Sheet6!$K$2:$K$17</c:f>
              <c:numCache>
                <c:formatCode>General</c:formatCode>
                <c:ptCount val="16"/>
                <c:pt idx="0">
                  <c:v>-0.00558238</c:v>
                </c:pt>
                <c:pt idx="1">
                  <c:v>0.01014003</c:v>
                </c:pt>
                <c:pt idx="2">
                  <c:v>0.00911490999999999</c:v>
                </c:pt>
                <c:pt idx="3">
                  <c:v>0.000302980000000008</c:v>
                </c:pt>
                <c:pt idx="4">
                  <c:v>-0.00277862000000001</c:v>
                </c:pt>
                <c:pt idx="5">
                  <c:v>-0.00575930999999999</c:v>
                </c:pt>
                <c:pt idx="6">
                  <c:v>-0.00469314</c:v>
                </c:pt>
                <c:pt idx="7">
                  <c:v>0.00996399999999999</c:v>
                </c:pt>
                <c:pt idx="8">
                  <c:v>0.00729039999999999</c:v>
                </c:pt>
                <c:pt idx="9">
                  <c:v>-0.00429114</c:v>
                </c:pt>
                <c:pt idx="10">
                  <c:v>-0.01120007</c:v>
                </c:pt>
                <c:pt idx="11">
                  <c:v>-0.00327684</c:v>
                </c:pt>
                <c:pt idx="12">
                  <c:v>0.00468337</c:v>
                </c:pt>
                <c:pt idx="13">
                  <c:v>-0.00298483</c:v>
                </c:pt>
                <c:pt idx="14">
                  <c:v>-0.000293269999999998</c:v>
                </c:pt>
                <c:pt idx="15">
                  <c:v>-0.000636109999999995</c:v>
                </c:pt>
              </c:numCache>
            </c:numRef>
          </c:val>
          <c:smooth val="0"/>
        </c:ser>
        <c:ser>
          <c:idx val="2"/>
          <c:order val="2"/>
          <c:tx>
            <c:strRef>
              <c:f>Sheet6!$L$1</c:f>
              <c:strCache>
                <c:ptCount val="1"/>
                <c:pt idx="0">
                  <c:v>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Sheet6!$L$2:$L$17</c:f>
              <c:numCache>
                <c:formatCode>General</c:formatCode>
                <c:ptCount val="16"/>
                <c:pt idx="0">
                  <c:v>0.02786489</c:v>
                </c:pt>
                <c:pt idx="1">
                  <c:v>-0.02212667</c:v>
                </c:pt>
                <c:pt idx="2">
                  <c:v>-0.01714448</c:v>
                </c:pt>
                <c:pt idx="3">
                  <c:v>0.02120046</c:v>
                </c:pt>
                <c:pt idx="4">
                  <c:v>-0.02548</c:v>
                </c:pt>
                <c:pt idx="5">
                  <c:v>-0.00759588</c:v>
                </c:pt>
                <c:pt idx="6">
                  <c:v>0.00139650000000001</c:v>
                </c:pt>
                <c:pt idx="7">
                  <c:v>-0.01052545</c:v>
                </c:pt>
                <c:pt idx="8">
                  <c:v>-0.004495</c:v>
                </c:pt>
                <c:pt idx="9">
                  <c:v>0.01150221</c:v>
                </c:pt>
                <c:pt idx="10">
                  <c:v>0.02285851</c:v>
                </c:pt>
                <c:pt idx="11">
                  <c:v>-0.00882953</c:v>
                </c:pt>
                <c:pt idx="12">
                  <c:v>0.01303826</c:v>
                </c:pt>
                <c:pt idx="13">
                  <c:v>0.01882236</c:v>
                </c:pt>
                <c:pt idx="14">
                  <c:v>0.01699148</c:v>
                </c:pt>
                <c:pt idx="15">
                  <c:v>-0.03747766</c:v>
                </c:pt>
              </c:numCache>
            </c:numRef>
          </c:val>
          <c:smooth val="0"/>
        </c:ser>
        <c:ser>
          <c:idx val="3"/>
          <c:order val="3"/>
          <c:tx>
            <c:strRef>
              <c:f>Sheet6!$M$1</c:f>
              <c:strCache>
                <c:ptCount val="1"/>
                <c:pt idx="0">
                  <c:v>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Sheet6!$M$2:$M$17</c:f>
              <c:numCache>
                <c:formatCode>General</c:formatCode>
                <c:ptCount val="16"/>
                <c:pt idx="0">
                  <c:v>-0.00646728</c:v>
                </c:pt>
                <c:pt idx="1">
                  <c:v>-0.00286562</c:v>
                </c:pt>
                <c:pt idx="2">
                  <c:v>-0.0072691</c:v>
                </c:pt>
                <c:pt idx="3">
                  <c:v>-0.00680763999999999</c:v>
                </c:pt>
                <c:pt idx="4">
                  <c:v>0.00863409999999999</c:v>
                </c:pt>
                <c:pt idx="5">
                  <c:v>-0.00765702999999999</c:v>
                </c:pt>
                <c:pt idx="6">
                  <c:v>0.02286045</c:v>
                </c:pt>
                <c:pt idx="7">
                  <c:v>-0.00719534</c:v>
                </c:pt>
                <c:pt idx="8">
                  <c:v>-0.0056959</c:v>
                </c:pt>
                <c:pt idx="9">
                  <c:v>0.00024805</c:v>
                </c:pt>
                <c:pt idx="10">
                  <c:v>0.01542979</c:v>
                </c:pt>
                <c:pt idx="11">
                  <c:v>0.02535678</c:v>
                </c:pt>
                <c:pt idx="12">
                  <c:v>-0.00288696</c:v>
                </c:pt>
                <c:pt idx="13">
                  <c:v>0.00635329</c:v>
                </c:pt>
                <c:pt idx="14">
                  <c:v>-0.01490023</c:v>
                </c:pt>
                <c:pt idx="15">
                  <c:v>-0.01713737</c:v>
                </c:pt>
              </c:numCache>
            </c:numRef>
          </c:val>
          <c:smooth val="0"/>
        </c:ser>
        <c:ser>
          <c:idx val="4"/>
          <c:order val="4"/>
          <c:tx>
            <c:strRef>
              <c:f>Sheet6!$N$1</c:f>
              <c:strCache>
                <c:ptCount val="1"/>
                <c:pt idx="0">
                  <c:v>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Sheet6!$N$2:$N$17</c:f>
              <c:numCache>
                <c:formatCode>General</c:formatCode>
                <c:ptCount val="16"/>
                <c:pt idx="0">
                  <c:v>0.01047894</c:v>
                </c:pt>
                <c:pt idx="1">
                  <c:v>-0.01137094</c:v>
                </c:pt>
                <c:pt idx="2">
                  <c:v>-0.01033092</c:v>
                </c:pt>
                <c:pt idx="3">
                  <c:v>0.01060146</c:v>
                </c:pt>
                <c:pt idx="4">
                  <c:v>-0.00141748</c:v>
                </c:pt>
                <c:pt idx="5">
                  <c:v>0.00783177</c:v>
                </c:pt>
                <c:pt idx="6">
                  <c:v>0.00238185</c:v>
                </c:pt>
                <c:pt idx="7">
                  <c:v>-0.01091745</c:v>
                </c:pt>
                <c:pt idx="8">
                  <c:v>-0.00485374</c:v>
                </c:pt>
                <c:pt idx="9">
                  <c:v>0.00930572</c:v>
                </c:pt>
                <c:pt idx="10">
                  <c:v>0.01212929</c:v>
                </c:pt>
                <c:pt idx="11">
                  <c:v>0.00589671999999999</c:v>
                </c:pt>
                <c:pt idx="12">
                  <c:v>-0.01274422</c:v>
                </c:pt>
                <c:pt idx="13">
                  <c:v>-0.00425213</c:v>
                </c:pt>
                <c:pt idx="14">
                  <c:v>0.00302903</c:v>
                </c:pt>
                <c:pt idx="15">
                  <c:v>-0.00576791</c:v>
                </c:pt>
              </c:numCache>
            </c:numRef>
          </c:val>
          <c:smooth val="0"/>
        </c:ser>
        <c:ser>
          <c:idx val="5"/>
          <c:order val="5"/>
          <c:tx>
            <c:strRef>
              <c:f>Sheet6!$O$1</c:f>
              <c:strCache>
                <c:ptCount val="1"/>
                <c:pt idx="0">
                  <c:v>6</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Sheet6!$O$2:$O$17</c:f>
              <c:numCache>
                <c:formatCode>General</c:formatCode>
                <c:ptCount val="16"/>
                <c:pt idx="0">
                  <c:v>0.00195043</c:v>
                </c:pt>
                <c:pt idx="1">
                  <c:v>-0.00429033</c:v>
                </c:pt>
                <c:pt idx="2">
                  <c:v>-0.0051042</c:v>
                </c:pt>
                <c:pt idx="3">
                  <c:v>-0.01019588</c:v>
                </c:pt>
                <c:pt idx="4">
                  <c:v>-0.00130709</c:v>
                </c:pt>
                <c:pt idx="5">
                  <c:v>-0.00443381</c:v>
                </c:pt>
                <c:pt idx="6">
                  <c:v>0.00614674000000001</c:v>
                </c:pt>
                <c:pt idx="7">
                  <c:v>0.000125609999999998</c:v>
                </c:pt>
                <c:pt idx="8">
                  <c:v>-0.0010783</c:v>
                </c:pt>
                <c:pt idx="9">
                  <c:v>-0.00587338</c:v>
                </c:pt>
                <c:pt idx="10">
                  <c:v>0.00854833</c:v>
                </c:pt>
                <c:pt idx="11">
                  <c:v>0.00115245999999999</c:v>
                </c:pt>
                <c:pt idx="12">
                  <c:v>0.00682641</c:v>
                </c:pt>
                <c:pt idx="13">
                  <c:v>0.00586147</c:v>
                </c:pt>
                <c:pt idx="14">
                  <c:v>0.000520310000000003</c:v>
                </c:pt>
                <c:pt idx="15">
                  <c:v>0.00115123</c:v>
                </c:pt>
              </c:numCache>
            </c:numRef>
          </c:val>
          <c:smooth val="0"/>
        </c:ser>
        <c:ser>
          <c:idx val="6"/>
          <c:order val="6"/>
          <c:tx>
            <c:strRef>
              <c:f>Sheet6!$P$1</c:f>
              <c:strCache>
                <c:ptCount val="1"/>
                <c:pt idx="0">
                  <c:v>avg</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Sheet6!$P$2:$P$17</c:f>
              <c:numCache>
                <c:formatCode>General</c:formatCode>
                <c:ptCount val="16"/>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numCache>
            </c:numRef>
          </c:val>
          <c:smooth val="0"/>
        </c:ser>
        <c:dLbls>
          <c:showLegendKey val="0"/>
          <c:showVal val="0"/>
          <c:showCatName val="0"/>
          <c:showSerName val="0"/>
          <c:showPercent val="0"/>
          <c:showBubbleSize val="0"/>
        </c:dLbls>
        <c:marker val="1"/>
        <c:smooth val="0"/>
        <c:axId val="1130366688"/>
        <c:axId val="1231895696"/>
      </c:lineChart>
      <c:catAx>
        <c:axId val="113036668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895696"/>
        <c:crosses val="autoZero"/>
        <c:auto val="1"/>
        <c:lblAlgn val="ctr"/>
        <c:lblOffset val="100"/>
        <c:noMultiLvlLbl val="0"/>
      </c:catAx>
      <c:valAx>
        <c:axId val="123189569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036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Afghanistan and Jamaica</a:t>
            </a:r>
            <a:r>
              <a:rPr lang="en-US" baseline="0"/>
              <a:t> Compared to Cluster 3 and Global Averages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Afghanistan!$G$1</c:f>
              <c:strCache>
                <c:ptCount val="1"/>
                <c:pt idx="0">
                  <c:v>Afghanistan Diff</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cat>
            <c:strRef>
              <c:f>Afghanistan!$F$2:$F$17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Afghanistan!$G$2:$G$17</c:f>
              <c:numCache>
                <c:formatCode>General</c:formatCode>
                <c:ptCount val="16"/>
                <c:pt idx="0">
                  <c:v>-0.006092894</c:v>
                </c:pt>
                <c:pt idx="1">
                  <c:v>0.010757647</c:v>
                </c:pt>
                <c:pt idx="2">
                  <c:v>0.012243685</c:v>
                </c:pt>
                <c:pt idx="3">
                  <c:v>-0.016276146</c:v>
                </c:pt>
                <c:pt idx="4">
                  <c:v>-0.008213856</c:v>
                </c:pt>
                <c:pt idx="5">
                  <c:v>-0.005739752</c:v>
                </c:pt>
                <c:pt idx="6">
                  <c:v>0.001243591</c:v>
                </c:pt>
                <c:pt idx="7">
                  <c:v>0.017678287</c:v>
                </c:pt>
                <c:pt idx="8">
                  <c:v>0.012410263</c:v>
                </c:pt>
                <c:pt idx="9">
                  <c:v>-0.016047106</c:v>
                </c:pt>
                <c:pt idx="10">
                  <c:v>-0.011060497</c:v>
                </c:pt>
                <c:pt idx="11">
                  <c:v>-0.000830985</c:v>
                </c:pt>
                <c:pt idx="12">
                  <c:v>0.011335409</c:v>
                </c:pt>
                <c:pt idx="13">
                  <c:v>-0.007877278</c:v>
                </c:pt>
                <c:pt idx="14">
                  <c:v>-0.001072002</c:v>
                </c:pt>
                <c:pt idx="15">
                  <c:v>0.007541623</c:v>
                </c:pt>
              </c:numCache>
            </c:numRef>
          </c:val>
          <c:smooth val="0"/>
        </c:ser>
        <c:ser>
          <c:idx val="1"/>
          <c:order val="1"/>
          <c:tx>
            <c:strRef>
              <c:f>Afghanistan!$H$1</c:f>
              <c:strCache>
                <c:ptCount val="1"/>
                <c:pt idx="0">
                  <c:v>Cluster 3 Diff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Afghanistan!$F$2:$F$17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Afghanistan!$H$2:$H$17</c:f>
              <c:numCache>
                <c:formatCode>General</c:formatCode>
                <c:ptCount val="16"/>
                <c:pt idx="0">
                  <c:v>0.02786489</c:v>
                </c:pt>
                <c:pt idx="1">
                  <c:v>-0.02212667</c:v>
                </c:pt>
                <c:pt idx="2">
                  <c:v>-0.01714448</c:v>
                </c:pt>
                <c:pt idx="3">
                  <c:v>0.02120046</c:v>
                </c:pt>
                <c:pt idx="4">
                  <c:v>-0.02548</c:v>
                </c:pt>
                <c:pt idx="5">
                  <c:v>-0.00759588</c:v>
                </c:pt>
                <c:pt idx="6">
                  <c:v>0.00139650000000001</c:v>
                </c:pt>
                <c:pt idx="7">
                  <c:v>-0.01052545</c:v>
                </c:pt>
                <c:pt idx="8">
                  <c:v>-0.004495</c:v>
                </c:pt>
                <c:pt idx="9">
                  <c:v>0.01150221</c:v>
                </c:pt>
                <c:pt idx="10">
                  <c:v>0.02285851</c:v>
                </c:pt>
                <c:pt idx="11">
                  <c:v>-0.00882953</c:v>
                </c:pt>
                <c:pt idx="12">
                  <c:v>0.01303826</c:v>
                </c:pt>
                <c:pt idx="13">
                  <c:v>0.01882236</c:v>
                </c:pt>
                <c:pt idx="14">
                  <c:v>0.01699148</c:v>
                </c:pt>
                <c:pt idx="15">
                  <c:v>-0.03747766</c:v>
                </c:pt>
              </c:numCache>
            </c:numRef>
          </c:val>
          <c:smooth val="0"/>
        </c:ser>
        <c:ser>
          <c:idx val="2"/>
          <c:order val="2"/>
          <c:tx>
            <c:strRef>
              <c:f>Afghanistan!$J$1</c:f>
              <c:strCache>
                <c:ptCount val="1"/>
                <c:pt idx="0">
                  <c:v>Avg</c:v>
                </c:pt>
              </c:strCache>
            </c:strRef>
          </c:tx>
          <c:spPr>
            <a:ln w="28575" cap="rnd">
              <a:solidFill>
                <a:schemeClr val="tx2"/>
              </a:solidFill>
              <a:round/>
            </a:ln>
            <a:effectLst/>
          </c:spPr>
          <c:marker>
            <c:symbol val="circle"/>
            <c:size val="5"/>
            <c:spPr>
              <a:solidFill>
                <a:schemeClr val="tx2"/>
              </a:solidFill>
              <a:ln w="9525">
                <a:solidFill>
                  <a:schemeClr val="tx2">
                    <a:lumMod val="75000"/>
                  </a:schemeClr>
                </a:solidFill>
              </a:ln>
              <a:effectLst/>
            </c:spPr>
          </c:marker>
          <c:cat>
            <c:strRef>
              <c:f>Afghanistan!$F$2:$F$17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Afghanistan!$J$2:$J$17</c:f>
              <c:numCache>
                <c:formatCode>General</c:formatCode>
                <c:ptCount val="16"/>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numCache>
            </c:numRef>
          </c:val>
          <c:smooth val="0"/>
        </c:ser>
        <c:ser>
          <c:idx val="3"/>
          <c:order val="3"/>
          <c:tx>
            <c:v>Jamaica</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Afghanistan!$I$2:$I$17</c:f>
              <c:numCache>
                <c:formatCode>General</c:formatCode>
                <c:ptCount val="16"/>
                <c:pt idx="0">
                  <c:v>-0.014199266</c:v>
                </c:pt>
                <c:pt idx="1">
                  <c:v>0.00555763</c:v>
                </c:pt>
                <c:pt idx="2">
                  <c:v>0.00161776</c:v>
                </c:pt>
                <c:pt idx="3">
                  <c:v>-0.010049813</c:v>
                </c:pt>
                <c:pt idx="4">
                  <c:v>-0.00340008900000001</c:v>
                </c:pt>
                <c:pt idx="5">
                  <c:v>-0.001837224</c:v>
                </c:pt>
                <c:pt idx="6">
                  <c:v>0.00998888</c:v>
                </c:pt>
                <c:pt idx="7">
                  <c:v>0.00262480199999999</c:v>
                </c:pt>
                <c:pt idx="8">
                  <c:v>0.004635692</c:v>
                </c:pt>
                <c:pt idx="9">
                  <c:v>0.00265227499999999</c:v>
                </c:pt>
                <c:pt idx="10">
                  <c:v>-0.01131342</c:v>
                </c:pt>
                <c:pt idx="11">
                  <c:v>0.01980753</c:v>
                </c:pt>
                <c:pt idx="12">
                  <c:v>-0.012130796</c:v>
                </c:pt>
                <c:pt idx="13">
                  <c:v>-0.00615798</c:v>
                </c:pt>
                <c:pt idx="14">
                  <c:v>-0.00661772</c:v>
                </c:pt>
                <c:pt idx="15">
                  <c:v>0.018821728</c:v>
                </c:pt>
              </c:numCache>
            </c:numRef>
          </c:val>
          <c:smooth val="0"/>
        </c:ser>
        <c:dLbls>
          <c:showLegendKey val="0"/>
          <c:showVal val="0"/>
          <c:showCatName val="0"/>
          <c:showSerName val="0"/>
          <c:showPercent val="0"/>
          <c:showBubbleSize val="0"/>
        </c:dLbls>
        <c:marker val="1"/>
        <c:smooth val="0"/>
        <c:axId val="727351856"/>
        <c:axId val="1233474688"/>
      </c:lineChart>
      <c:catAx>
        <c:axId val="7273518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474688"/>
        <c:crosses val="autoZero"/>
        <c:auto val="1"/>
        <c:lblAlgn val="ctr"/>
        <c:lblOffset val="100"/>
        <c:noMultiLvlLbl val="0"/>
      </c:catAx>
      <c:valAx>
        <c:axId val="123347468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351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8A5553-192B-994C-9A13-378C168E8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739</Words>
  <Characters>4214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Swaffield, Henry Hartwell</dc:creator>
  <cp:keywords/>
  <dc:description/>
  <cp:lastModifiedBy>Swaffield, Henry Hartwell</cp:lastModifiedBy>
  <cp:revision>35</cp:revision>
  <dcterms:created xsi:type="dcterms:W3CDTF">2017-11-15T03:02:00Z</dcterms:created>
  <dcterms:modified xsi:type="dcterms:W3CDTF">2017-11-15T05:18:00Z</dcterms:modified>
</cp:coreProperties>
</file>