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Course6-2</w:t>
      </w:r>
    </w:p>
    <w:p>
      <w:pPr>
        <w:pStyle w:val="Author"/>
      </w:pPr>
      <w:r>
        <w:t xml:space="preserve">Sangwon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2018-12-18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In the second portion of the project, we’re going to analyze the ToothGrowth data in the R datasets package.</w:t>
      </w:r>
    </w:p>
    <w:p>
      <w:pPr>
        <w:pStyle w:val="Heading1"/>
      </w:pPr>
      <w:bookmarkStart w:id="22" w:name="load-the-toothgrowth-data-and-explore-data-analyses"/>
      <w:bookmarkEnd w:id="22"/>
      <w:r>
        <w:t xml:space="preserve">1. Load the ToothGrowth data and explore data analyses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[1] 0.5 1.0 2.0</w:t>
      </w:r>
    </w:p>
    <w:p>
      <w:pPr>
        <w:pStyle w:val="Heading1"/>
      </w:pPr>
      <w:bookmarkStart w:id="23" w:name="provide-a-basic-summary-of-the-data."/>
      <w:bookmarkEnd w:id="23"/>
      <w:r>
        <w:t xml:space="preserve">2. Provide a basic summary of the data.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FirstParagraph"/>
      </w:pPr>
      <w:r>
        <w:t xml:space="preserve">Plot box and whisker diagram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(mg/day)"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6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box and whisker diagram according to supplement type subgroups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(mg/day)"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(mg/day)"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6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box and whisker diagram according to dose subgroups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 mg/day"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 mg/day"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(len[ToothGrowth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 mg/day"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6-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hypothesis-tests-to-compare-tooth-growth-by-supp-and-dose."/>
      <w:bookmarkEnd w:id="27"/>
      <w:r>
        <w:t xml:space="preserve">3. Hypothesis tests to compare tooth growth by supp and dose.</w:t>
      </w:r>
    </w:p>
    <w:p>
      <w:pPr>
        <w:pStyle w:val="Heading2"/>
      </w:pPr>
      <w:bookmarkStart w:id="28" w:name="supplement"/>
      <w:bookmarkEnd w:id="28"/>
      <w:r>
        <w:t xml:space="preserve">3-1. Supplement</w:t>
      </w:r>
    </w:p>
    <w:p>
      <w:pPr>
        <w:pStyle w:val="FirstParagraph"/>
      </w:pPr>
      <w:r>
        <w:t xml:space="preserve">See whether the test meets equal variance assumption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(len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F = 0.6386, num df = 29, denom df = 29, p-value = 0.2331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0.3039488 1.3416857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0.6385951</w:t>
      </w:r>
    </w:p>
    <w:p>
      <w:pPr>
        <w:pStyle w:val="FirstParagraph"/>
      </w:pPr>
      <w:r>
        <w:t xml:space="preserve">No significant difference in variance are shown.</w:t>
      </w:r>
    </w:p>
    <w:p>
      <w:pPr>
        <w:pStyle w:val="BodyText"/>
      </w:pPr>
      <w:r>
        <w:t xml:space="preserve">Perform t.test function to compare two supplement groups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1.9153, df = 58, p-value = 0.06039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-0.1670064  7.5670064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20.66333         16.96333</w:t>
      </w:r>
    </w:p>
    <w:p>
      <w:pPr>
        <w:pStyle w:val="Heading2"/>
      </w:pPr>
      <w:bookmarkStart w:id="29" w:name="dose"/>
      <w:bookmarkEnd w:id="29"/>
      <w:r>
        <w:t xml:space="preserve">3-2. Dose</w:t>
      </w:r>
    </w:p>
    <w:p>
      <w:pPr>
        <w:pStyle w:val="FirstParagraph"/>
      </w:pPr>
      <w:r>
        <w:t xml:space="preserve">See whether the test meets equal variance assumption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(len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as.factor(dose)</w:t>
      </w:r>
      <w:r>
        <w:br w:type="textWrapping"/>
      </w:r>
      <w:r>
        <w:rPr>
          <w:rStyle w:val="VerbatimChar"/>
        </w:rPr>
        <w:t xml:space="preserve">## Bartlett's K-squared = 0.66547, df = 2, p-value = 0.717</w:t>
      </w:r>
    </w:p>
    <w:p>
      <w:pPr>
        <w:pStyle w:val="FirstParagraph"/>
      </w:pPr>
      <w:r>
        <w:t xml:space="preserve">No significant difference in variance are shown.</w:t>
      </w:r>
    </w:p>
    <w:p>
      <w:pPr>
        <w:pStyle w:val="BodyText"/>
      </w:pPr>
      <w:r>
        <w:t xml:space="preserve">Perform aov function to compare three dose groups</w:t>
      </w:r>
    </w:p>
    <w:p>
      <w:pPr>
        <w:pStyle w:val="SourceCode"/>
      </w:pPr>
      <w:r>
        <w:rPr>
          <w:rStyle w:val="NormalTok"/>
        </w:rPr>
        <w:t xml:space="preserve">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 w:type="textWrapping"/>
      </w:r>
      <w:r>
        <w:rPr>
          <w:rStyle w:val="VerbatimChar"/>
        </w:rPr>
        <w:t xml:space="preserve">## as.factor(dose)  2   2426    1213   67.42 9.53e-16 ***</w:t>
      </w:r>
      <w:r>
        <w:br w:type="textWrapping"/>
      </w:r>
      <w:r>
        <w:rPr>
          <w:rStyle w:val="VerbatimChar"/>
        </w:rPr>
        <w:t xml:space="preserve">## Residuals       57   1026      18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Then, which group shows significant difference in tooth length?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len ~ as.factor(dose), data = ToothGrowth)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$`as.factor(dose)`</w:t>
      </w:r>
      <w:r>
        <w:br w:type="textWrapping"/>
      </w:r>
      <w:r>
        <w:rPr>
          <w:rStyle w:val="VerbatimChar"/>
        </w:rPr>
        <w:t xml:space="preserve">##         diff       lwr       upr    p adj</w:t>
      </w:r>
      <w:r>
        <w:br w:type="textWrapping"/>
      </w:r>
      <w:r>
        <w:rPr>
          <w:rStyle w:val="VerbatimChar"/>
        </w:rPr>
        <w:t xml:space="preserve">## 1-0.5  9.130  5.901805 12.358195 0.00e+00</w:t>
      </w:r>
      <w:r>
        <w:br w:type="textWrapping"/>
      </w:r>
      <w:r>
        <w:rPr>
          <w:rStyle w:val="VerbatimChar"/>
        </w:rPr>
        <w:t xml:space="preserve">## 2-0.5 15.495 12.266805 18.723195 0.00e+00</w:t>
      </w:r>
      <w:r>
        <w:br w:type="textWrapping"/>
      </w:r>
      <w:r>
        <w:rPr>
          <w:rStyle w:val="VerbatimChar"/>
        </w:rPr>
        <w:t xml:space="preserve">## 2-1    6.365  3.136805  9.593195 4.25e-05</w:t>
      </w:r>
    </w:p>
    <w:p>
      <w:pPr>
        <w:pStyle w:val="Heading1"/>
      </w:pPr>
      <w:bookmarkStart w:id="30" w:name="conclusions"/>
      <w:bookmarkEnd w:id="30"/>
      <w:r>
        <w:t xml:space="preserve">4. conclusions</w:t>
      </w:r>
    </w:p>
    <w:p>
      <w:pPr>
        <w:pStyle w:val="FirstParagraph"/>
      </w:pPr>
      <w:r>
        <w:t xml:space="preserve">As shown above, we can conclude</w:t>
      </w:r>
    </w:p>
    <w:p>
      <w:pPr>
        <w:pStyle w:val="Compact"/>
        <w:numPr>
          <w:numId w:val="1001"/>
          <w:ilvl w:val="0"/>
        </w:numPr>
      </w:pPr>
      <w:r>
        <w:t xml:space="preserve">Tooth length does not differ according to supplement delivery type.</w:t>
      </w:r>
    </w:p>
    <w:p>
      <w:pPr>
        <w:pStyle w:val="Compact"/>
        <w:numPr>
          <w:numId w:val="1001"/>
          <w:ilvl w:val="0"/>
        </w:numPr>
      </w:pPr>
      <w:r>
        <w:t xml:space="preserve">Tooth length does differ among the three dose levels of vitamin 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a8a4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b49e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Course6-2</dc:title>
  <dc:creator>Sangwon Han</dc:creator>
  <dcterms:created xsi:type="dcterms:W3CDTF">2018-12-17T22:48:33Z</dcterms:created>
  <dcterms:modified xsi:type="dcterms:W3CDTF">2018-12-17T22:48:33Z</dcterms:modified>
</cp:coreProperties>
</file>