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Levantamento de indícios de candidaturas fantasmas previamente às eleições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Introdução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ab/>
        <w:t xml:space="preserve">Ainda com o objetivo de contribuir para tornar as câmaras legislativas federal e estaduais mais representativas da sociedade brasileira, pretendemos colaborar com o ministério público na supervisão das candidaturas quanto ao cumprimento da </w:t>
      </w:r>
      <w:hyperlink r:id="rId2">
        <w:bookmarkStart w:id="0" w:name="__DdeLink__4_631984675"/>
        <w:r>
          <w:rPr>
            <w:rStyle w:val="InternetLink"/>
          </w:rPr>
          <w:t>Lei nº 9.504/97</w:t>
        </w:r>
      </w:hyperlink>
      <w:bookmarkEnd w:id="0"/>
      <w:r>
        <w:rPr/>
        <w:t xml:space="preserve">, </w:t>
      </w:r>
      <w:r>
        <w:rPr/>
        <w:t xml:space="preserve">em particular de seu </w:t>
      </w:r>
      <w:r>
        <w:rPr/>
        <w:t xml:space="preserve">artigo 10º, parágrafo 3º, </w:t>
      </w:r>
      <w:r>
        <w:rPr/>
        <w:t>que estabelece que “cada partido ou coligação preencherá o mínimo de 30% (trinta por cento) e o máximo de 70% (setenta por cento) para candidaturas de cada sexo”. Uma forma encontrada por partidos e coligações de fraudar o cumprimento dessa demanda, desvirtuando  seu espírito, é a inscrição de candidaturas fantasmas, isto é, que servem apenas para cumprir “no papel” as exigências legais mas que não são divulgadas, não aparecem em propagandas, não recebem apoio e nem investimento do partido e nem do próprio candidato ou candidata. Muitas vezes, esses candidatos ou candidatas não recebem nenhum voto, nem o deles mesmos.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</w:r>
      <w:r>
        <w:rPr/>
        <w:t>Infelizmente, o impacto da detecção de candidaturas fantasmas é muito pequeno após as eleições. Por esse motivo, pretendemos realizar um estudo estatístico das eleições passadas para traçar um perfil desse tipo de candidatura e, combinado com as informações passadas à justiça eleitoral e levandadas pelos nossos voluntários sobre os candidatos e candidatas desse ano, obter indícios prévios de candidaturas fantasmas. Essa informação seria disponibilizada ao ministério público, que poderia verificar a fundo a autenticidade das candidaturas antes da ocorrência das eleições. Também vamos buscar por candidaturas fantasmas “profissionais”, isto é, que se repetem ano após ano.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Metodologia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</w:r>
      <w:r>
        <w:rPr/>
        <w:t>A principal fonte de dados que utilizaremos é o Repositório de dados eleitorais da justiça eleitoral</w:t>
      </w:r>
      <w:r>
        <w:rPr>
          <w:rStyle w:val="FootnoteAnchor"/>
        </w:rPr>
        <w:footnoteReference w:id="2"/>
      </w:r>
      <w:r>
        <w:rPr/>
        <w:t>. Essa base de dados traz informações sobre as candidaturas e as votações desde 1945, tais como: unidade da federação, cargo concorrido, despesa máxima de campanha, nome, número, partido, ocupação, data e local de nascimento, sexo, cor, grau de instrução, estado civil, e-mail e declaração de bens do candidato ou candidata, e o número de votos que recebeu. Também vamos utilizar as informações levantadas pelos voluntários acerca dos candidatos e candidatas, em especial sobre a existência de algum meio de divulgação da candidatura (comitês, páginas na internet, etc.) e de contato efetivo (e.g. e-mail respondido e telefone atendido).</w:t>
      </w:r>
    </w:p>
    <w:p>
      <w:pPr>
        <w:pStyle w:val="Normal"/>
        <w:jc w:val="both"/>
        <w:rPr/>
      </w:pPr>
      <w:r>
        <w:rPr/>
        <w:br/>
        <w:tab/>
      </w:r>
      <w:r>
        <w:rPr/>
        <w:t xml:space="preserve">Ao analisar os dados de eleições anteriores, vamos utilizar o número de votos recebidos por uma certa candidatura (zero, neste caso) como indicador de possíveis fantasmas. Nessa etapa, é importante remover da análise candidaturas indeferidas, falecidos e outros contaminantes da amostra. Embora existam fantasmas que recebam um pequeno número de votos – causados, por exemplo, por erros de digitação nas urnas – vamos adotar uma abordagem conservadora e minimizar o número de falsos positivos, isto é, de candidaturas reais que são identificadas por nós como fantasmas, a fim de otimizar o trabalho posterior do ministério público e não causar transtornos a candidatos e candidatas reais.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</w:r>
      <w:r>
        <w:rPr/>
        <w:t>Realizaremos uma comparação entre os perfis das candidaturas antes e depois de 2012 – ano em que o artigo 10º, parágrafo 3º da Lei nº 9.504/97 entrou efetivamente em vigor – para traçar um perfil inicial dos candidatos fantasmas, identificando como a distribuição das características das candidaturas se alterou nessa passagem. Em seguida, aplicaremos métodos de modelagem estatística aos resultados das eleições de 2012 em diante para separar, a partir dos dados das candidaturas fornecidos à justiça eleitoral, candidatos com zero votos dos demais. Dois métodos principais serão utilizados: modelos lineares generalizados (GLM) e aprendizagem de máquina (</w:t>
      </w:r>
      <w:r>
        <w:rPr>
          <w:i/>
          <w:iCs/>
        </w:rPr>
        <w:t>machine learning</w:t>
      </w:r>
      <w:r>
        <w:rPr/>
        <w:t>). Embora nosso foco seja nas eleições de deputados e deputadas federais e estaduais, a análise das eleições de vereadores e vereadoras podem fornecer mais algumas pistas sobre o comportamento das candidaturas fantasmas. Essa análise nos retornará um perfil das candidaturas fantasmas e o modelo obtido será aplicado aos candidatos de 2018 para identificá-las, ao menos de forma potencial. Para maior robustez, essas identificações serão cruzadas com os indícios levantados pelos voluntários, tais como inexistência de dibulgação e de meios de contato com o candidato ou candidata.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Produtos finais</w:t>
      </w:r>
      <w:r>
        <w:rPr>
          <w:sz w:val="28"/>
          <w:szCs w:val="28"/>
        </w:rPr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Ao final desse estudo estatístico, entregaremos um relatório contendo a descrição detalhada dos dados utilizados e da análise realizada, junto com o perfil identificado das candidaturas fantasmas. Além disso, entregaremos também uma lista de potenciais candidaturas fantasmas das eleições de 2018, que podem ser verificadas em detalhe por jornalistas e pelo ministério público. Todos os produtos finais e intermediários ficarão disponíveis ao público na internet, dentro de uma política de transparência e de dados e códigos abertos.</w:t>
        <w:tab/>
        <w:t xml:space="preserve">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    </w:t>
      </w:r>
    </w:p>
    <w:p>
      <w:pPr>
        <w:pStyle w:val="Normal"/>
        <w:rPr/>
      </w:pPr>
      <w:r>
        <w:rPr/>
        <w:t xml:space="preserve"> </w:t>
      </w:r>
    </w:p>
    <w:sectPr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r="http://schemas.openxmlformats.org/officeDocument/2006/relationships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/>
        <w:footnoteRef/>
        <w:tab/>
        <w:t>http://www.tse.jus.br/eleitor-e-eleicoes/estatisticas/repositorio-de-dados-eleitorais-1/repositorio-de-dados-eleitorais</w:t>
      </w:r>
    </w:p>
  </w:footnote>
</w:footnotes>
</file>

<file path=word/settings.xml><?xml version="1.0" encoding="utf-8"?>
<w:settings xmlns:w="http://schemas.openxmlformats.org/wordprocessingml/2006/main">
  <w:zoom w:percent="100"/>
  <w:defaultTabStop w:val="709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FootnoteCharacters">
    <w:name w:val="Footnote Characters"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uppressLineNumbers/>
      <w:ind w:left="339" w:right="0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lanalto.gov.br/ccivil_03/leis/L9504.htm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542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2018-03-06T10:33:13Z</dcterms:created>
  <dc:language>en-GB</dc:language>
  <dcterms:modified xsi:type="dcterms:W3CDTF">2018-03-06T11:14:06Z</dcterms:modified>
  <cp:revision>1</cp:revision>
</cp:coreProperties>
</file>