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1" w:after="397"/>
        <w:jc w:val="center"/>
      </w:pPr>
      <w:r>
        <w:rPr>
          <w:rFonts w:ascii="Noto Sans CJK SC" w:hAnsi="Noto Sans CJK SC" w:eastAsia="Noto Sans CJK SC"/>
          <w:b/>
          <w:color w:val="2F75B5"/>
          <w:sz w:val="42"/>
        </w:rPr>
        <w:t>元知OS</w:t>
      </w:r>
    </w:p>
    <w:p>
      <w:pPr>
        <w:spacing w:after="227"/>
        <w:jc w:val="center"/>
      </w:pPr>
      <w:r>
        <w:rPr>
          <w:rFonts w:ascii="Noto Sans CJK SC" w:hAnsi="Noto Sans CJK SC" w:eastAsia="Noto Sans CJK SC"/>
          <w:b/>
          <w:color w:val="1F4E78"/>
          <w:sz w:val="60"/>
        </w:rPr>
        <w:t>教师端、知识图谱与AI底座</w:t>
      </w:r>
    </w:p>
    <w:p>
      <w:pPr>
        <w:spacing w:after="624"/>
        <w:jc w:val="center"/>
      </w:pPr>
      <w:r>
        <w:rPr>
          <w:rFonts w:ascii="Noto Sans CJK SC" w:hAnsi="Noto Sans CJK SC" w:eastAsia="Noto Sans CJK SC"/>
          <w:b/>
          <w:color w:val="1F4E78"/>
          <w:sz w:val="68"/>
        </w:rPr>
        <w:t>整改建设方案</w:t>
      </w:r>
    </w:p>
    <w:p>
      <w:pPr>
        <w:spacing w:after="794"/>
        <w:jc w:val="center"/>
      </w:pPr>
      <w:r>
        <w:rPr>
          <w:rFonts w:ascii="Noto Sans CJK SC" w:hAnsi="Noto Sans CJK SC" w:eastAsia="Noto Sans CJK SC"/>
          <w:color w:val="5B6573"/>
          <w:sz w:val="28"/>
        </w:rPr>
        <w:t>基于现有代码审查与 OpenMAIC 融合设计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EEF5FB"/>
            <w:tcMar>
              <w:top w:w="260" w:type="dxa"/>
              <w:start w:w="300" w:type="dxa"/>
              <w:bottom w:w="260" w:type="dxa"/>
              <w:end w:w="300" w:type="dxa"/>
            </w:tcMar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</w:tcPr>
          <w:p>
            <w:pPr>
              <w:spacing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2F75B5"/>
                <w:sz w:val="22"/>
              </w:rPr>
              <w:t>核心目标</w:t>
            </w:r>
          </w:p>
          <w:p>
            <w:pPr>
              <w:spacing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F4E78"/>
                <w:sz w:val="28"/>
              </w:rPr>
              <w:t>先完成教师端“资源—图谱—课程蓝图—教学资产—发布—评价”闭环</w:t>
            </w:r>
          </w:p>
          <w:p>
            <w:pPr>
              <w:spacing w:after="12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43447"/>
                <w:sz w:val="22"/>
              </w:rPr>
              <w:t>统一AI底层，重构知识图谱生成，融合OpenMAIC互动课程引擎</w:t>
            </w:r>
          </w:p>
        </w:tc>
      </w:tr>
    </w:tbl>
    <w:p>
      <w:pPr>
        <w:spacing w:before="1247"/>
        <w:jc w:val="center"/>
      </w:pPr>
      <w:r>
        <w:rPr>
          <w:rFonts w:ascii="Noto Sans CJK SC" w:hAnsi="Noto Sans CJK SC" w:eastAsia="Noto Sans CJK SC"/>
          <w:color w:val="5B6573"/>
          <w:sz w:val="20"/>
        </w:rPr>
        <w:t>版本：V1.0　日期：2026年7月13日　性质：内部整改执行稿</w:t>
      </w:r>
    </w:p>
    <w:p>
      <w:pPr>
        <w:jc w:val="center"/>
      </w:pPr>
      <w:r>
        <w:rPr>
          <w:rFonts w:ascii="Noto Sans CJK SC" w:hAnsi="Noto Sans CJK SC" w:eastAsia="Noto Sans CJK SC"/>
          <w:color w:val="5B6573"/>
          <w:sz w:val="19"/>
        </w:rPr>
        <w:t>审查对象：YuanzhiOS-NEW-FRAMEWORK.zip</w:t>
      </w:r>
    </w:p>
    <w:p>
      <w:r>
        <w:br w:type="page"/>
      </w: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文档说明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EEF5FB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10" w:color="1F4E78"/>
              <w:left w:val="single" w:sz="10" w:color="1F4E78"/>
              <w:bottom w:val="single" w:sz="4" w:color="D4E1EC"/>
              <w:right w:val="single" w:sz="4" w:color="D4E1EC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8"/>
                <w:sz w:val="22"/>
              </w:rPr>
              <w:t>审查结论的使用边界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本方案基于所提供源码、仓库内设计文档、构建日志和现有前端实现进行静态审查。依赖安装未能在本次环境中完成，因此未重新跑通全仓构建；文档对构建问题的引用均明确标注为“仓库自带日志显示”，不将其表述为当前版本已复现。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本方案不是重新规划一套脱离现有代码的新产品，而是以“能继续利用现有业务资产、尽快形成教师端完整闭环”为原则，对已有代码进行分层整改。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226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审查范围</w:t>
            </w:r>
          </w:p>
        </w:tc>
        <w:tc>
          <w:tcPr>
            <w:tcW w:type="dxa" w:w="3969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规模/证据</w:t>
            </w:r>
          </w:p>
        </w:tc>
        <w:tc>
          <w:tcPr>
            <w:tcW w:type="dxa" w:w="340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结论用途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Java后端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约898个Java文件、5.9万行；96个Flyway迁移</w:t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识别业务资产、图谱作业、接口与工程基线</w:t>
            </w:r>
          </w:p>
        </w:tc>
      </w:tr>
      <w:tr>
        <w:tc>
          <w:tcPr>
            <w:tcW w:type="dxa" w:w="226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Vue教师/管理/学生端</w:t>
            </w:r>
          </w:p>
        </w:tc>
        <w:tc>
          <w:tcPr>
            <w:tcW w:type="dxa" w:w="3969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约352个Vue文件、10.5万行；教师端184个Vue文件</w:t>
            </w:r>
          </w:p>
        </w:tc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重点审查教师工作台、图谱、AI交互和Mock路径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AI Gateway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Next.js路由与模型直连实现</w:t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判断统一AI底层是否成立</w:t>
            </w:r>
          </w:p>
        </w:tc>
      </w:tr>
      <w:tr>
        <w:tc>
          <w:tcPr>
            <w:tcW w:type="dxa" w:w="226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Graphiti源码副本</w:t>
            </w:r>
          </w:p>
        </w:tc>
        <w:tc>
          <w:tcPr>
            <w:tcW w:type="dxa" w:w="3969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仓库内包含完整上游工程</w:t>
            </w:r>
          </w:p>
        </w:tc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判断其定位、维护边界和拆分方式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仓库日志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typecheck.out、build_log.txt</w:t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识别已有类型与编译基线风险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目录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4E78"/>
          <w:sz w:val="22"/>
        </w:rPr>
        <w:t>1. 整改总论与优先级判断</w:t>
      </w:r>
    </w:p>
    <w:p>
      <w:pPr>
        <w:spacing w:after="60"/>
      </w:pPr>
      <w:r>
        <w:rPr>
          <w:rFonts w:ascii="Noto Sans CJK SC" w:hAnsi="Noto Sans CJK SC" w:eastAsia="Noto Sans CJK SC"/>
          <w:b w:val="0"/>
          <w:color w:val="243447"/>
          <w:sz w:val="22"/>
        </w:rPr>
        <w:t>2. 现有代码审查与问题定位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4E78"/>
          <w:sz w:val="22"/>
        </w:rPr>
        <w:t>3. 目标架构与开源项目融合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4E78"/>
          <w:sz w:val="22"/>
        </w:rPr>
        <w:t>4. 教师端首期产品整改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4E78"/>
          <w:sz w:val="22"/>
        </w:rPr>
        <w:t>5. 知识图谱生成与治理重构</w:t>
      </w:r>
    </w:p>
    <w:p>
      <w:pPr>
        <w:spacing w:after="60"/>
      </w:pPr>
      <w:r>
        <w:rPr>
          <w:rFonts w:ascii="Noto Sans CJK SC" w:hAnsi="Noto Sans CJK SC" w:eastAsia="Noto Sans CJK SC"/>
          <w:b w:val="0"/>
          <w:color w:val="243447"/>
          <w:sz w:val="22"/>
        </w:rPr>
        <w:t>6. 统一AI底层与教学内容生成</w:t>
      </w:r>
    </w:p>
    <w:p>
      <w:pPr>
        <w:spacing w:after="60"/>
      </w:pPr>
      <w:r>
        <w:rPr>
          <w:rFonts w:ascii="Noto Sans CJK SC" w:hAnsi="Noto Sans CJK SC" w:eastAsia="Noto Sans CJK SC"/>
          <w:b w:val="0"/>
          <w:color w:val="243447"/>
          <w:sz w:val="22"/>
        </w:rPr>
        <w:t>7. 代码重构与工程治理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4E78"/>
          <w:sz w:val="22"/>
        </w:rPr>
        <w:t>8. 建设计划与Codex/Claude Code实施方式</w:t>
      </w:r>
    </w:p>
    <w:p>
      <w:pPr>
        <w:spacing w:after="60"/>
      </w:pPr>
      <w:r>
        <w:rPr>
          <w:rFonts w:ascii="Noto Sans CJK SC" w:hAnsi="Noto Sans CJK SC" w:eastAsia="Noto Sans CJK SC"/>
          <w:b w:val="0"/>
          <w:color w:val="243447"/>
          <w:sz w:val="22"/>
        </w:rPr>
        <w:t>9. 验收标准、风险与决策事项</w:t>
      </w:r>
    </w:p>
    <w:p>
      <w:r>
        <w:br w:type="page"/>
      </w:r>
    </w:p>
    <w:p>
      <w:pPr>
        <w:spacing w:before="280" w:after="80"/>
      </w:pPr>
      <w:r>
        <w:rPr>
          <w:rFonts w:ascii="Noto Sans CJK SC" w:hAnsi="Noto Sans CJK SC" w:eastAsia="Noto Sans CJK SC"/>
          <w:b/>
          <w:color w:val="2F75B5"/>
          <w:sz w:val="26"/>
        </w:rPr>
        <w:t>第1章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1F4E78"/>
          <w:sz w:val="46"/>
        </w:rPr>
        <w:t>整改总论与优先级判断</w:t>
      </w:r>
    </w:p>
    <w:p>
      <w:pPr>
        <w:spacing w:after="280"/>
      </w:pPr>
      <w:r>
        <w:rPr>
          <w:rFonts w:ascii="Noto Sans CJK SC" w:hAnsi="Noto Sans CJK SC" w:eastAsia="Noto Sans CJK SC"/>
          <w:color w:val="5B6573"/>
          <w:sz w:val="21"/>
        </w:rPr>
        <w:t>先把教师工作闭环做实，再逐步平台化。</w:t>
      </w:r>
    </w:p>
    <w:p>
      <w:pPr>
        <w:spacing w:after="240"/>
        <w:pBdr>
          <w:bottom w:val="single" w:sz="10" w:space="1" w:color="2F75B5"/>
        </w:pBdr>
      </w:pP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1.1 核心判断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EEF5FB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10" w:color="1F4E78"/>
              <w:left w:val="single" w:sz="10" w:color="1F4E78"/>
              <w:bottom w:val="single" w:sz="4" w:color="D4E1EC"/>
              <w:right w:val="single" w:sz="4" w:color="D4E1EC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8"/>
                <w:sz w:val="22"/>
              </w:rPr>
              <w:t>一句话结论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元知现有业务后台和课程/专业/OBE/图谱版本治理具有保留价值；真正需要重做的是AI控制与运行层，以及教师端从资源到课程交付的主工作流。OpenMAIC应作为互动课程生成与播放引擎接入，而不是替代元知平台。</w:t>
            </w:r>
          </w:p>
        </w:tc>
      </w:tr>
    </w:tbl>
    <w:p>
      <w:pPr>
        <w:spacing w:after="0"/>
      </w:pP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当前首要落地不是继续补更多教师菜单，而是打通教师真实完成一门课程的核心生产闭环。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知识图谱不能只做到“生成一张图”，必须形成有来源、有版本、有质量指标、可人工审校、可绑定课程目标与教学资产的受控知识资产。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摘要、大纲、知识点、出题、课件等能力不能再作为散落的Prompt按钮存在，应统一沉淀为可版本化、可校验、可评测的Skill。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通用Agent Harness可以采用pi，但模型路由、权限、上下文、配额、审计必须由元知自己的AI Runtime提供。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Graphiti适合承担动态时序上下文与Agent记忆，不适合替代元知官方课程知识图谱。</w:t>
      </w: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1.2 整改优先级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113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551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整改主题</w:t>
            </w:r>
          </w:p>
        </w:tc>
        <w:tc>
          <w:tcPr>
            <w:tcW w:type="dxa" w:w="3969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必须完成的结果</w:t>
            </w:r>
          </w:p>
        </w:tc>
        <w:tc>
          <w:tcPr>
            <w:tcW w:type="dxa" w:w="226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暂不追求</w:t>
            </w:r>
          </w:p>
        </w:tc>
      </w:tr>
      <w:tr>
        <w:tc>
          <w:tcPr>
            <w:tcW w:type="dxa" w:w="113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P0</w:t>
            </w:r>
          </w:p>
        </w:tc>
        <w:tc>
          <w:tcPr>
            <w:tcW w:type="dxa" w:w="25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安全与工程基线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密钥清理、认证、可重复构建、基础测试、统一契约仓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复杂微服务拆分</w:t>
            </w:r>
          </w:p>
        </w:tc>
      </w:tr>
      <w:tr>
        <w:tc>
          <w:tcPr>
            <w:tcW w:type="dxa" w:w="113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P1</w:t>
            </w:r>
          </w:p>
        </w:tc>
        <w:tc>
          <w:tcPr>
            <w:tcW w:type="dxa" w:w="255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教师端核心闭环</w:t>
            </w:r>
          </w:p>
        </w:tc>
        <w:tc>
          <w:tcPr>
            <w:tcW w:type="dxa" w:w="3969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资源解析→图谱审校→课程蓝图→教学资产→发布</w:t>
            </w:r>
          </w:p>
        </w:tc>
        <w:tc>
          <w:tcPr>
            <w:tcW w:type="dxa" w:w="226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全面覆盖学生端所有功能</w:t>
            </w:r>
          </w:p>
        </w:tc>
      </w:tr>
      <w:tr>
        <w:tc>
          <w:tcPr>
            <w:tcW w:type="dxa" w:w="113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P1</w:t>
            </w:r>
          </w:p>
        </w:tc>
        <w:tc>
          <w:tcPr>
            <w:tcW w:type="dxa" w:w="25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知识图谱生成整改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真实任务进度、结构化输出、证据与质量、人审发布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全自动无人审核</w:t>
            </w:r>
          </w:p>
        </w:tc>
      </w:tr>
      <w:tr>
        <w:tc>
          <w:tcPr>
            <w:tcW w:type="dxa" w:w="113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P1</w:t>
            </w:r>
          </w:p>
        </w:tc>
        <w:tc>
          <w:tcPr>
            <w:tcW w:type="dxa" w:w="255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统一AI Runtime</w:t>
            </w:r>
          </w:p>
        </w:tc>
        <w:tc>
          <w:tcPr>
            <w:tcW w:type="dxa" w:w="3969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模型网关、Skill、上下文、AI Run、事件与产物</w:t>
            </w:r>
          </w:p>
        </w:tc>
        <w:tc>
          <w:tcPr>
            <w:tcW w:type="dxa" w:w="226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先做大型Agent市场</w:t>
            </w:r>
          </w:p>
        </w:tc>
      </w:tr>
      <w:tr>
        <w:tc>
          <w:tcPr>
            <w:tcW w:type="dxa" w:w="113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P2</w:t>
            </w:r>
          </w:p>
        </w:tc>
        <w:tc>
          <w:tcPr>
            <w:tcW w:type="dxa" w:w="25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OpenMAIC融合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互动课件、测验、PBL、AI教师课堂可编辑发布</w:t>
            </w:r>
          </w:p>
        </w:tc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将Vue全量改成React</w:t>
            </w:r>
          </w:p>
        </w:tc>
      </w:tr>
      <w:tr>
        <w:tc>
          <w:tcPr>
            <w:tcW w:type="dxa" w:w="113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P3</w:t>
            </w:r>
          </w:p>
        </w:tc>
        <w:tc>
          <w:tcPr>
            <w:tcW w:type="dxa" w:w="255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OBE与数据回流</w:t>
            </w:r>
          </w:p>
        </w:tc>
        <w:tc>
          <w:tcPr>
            <w:tcW w:type="dxa" w:w="3969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Scene/题目/任务绑定CO与指标，形成达成度证据</w:t>
            </w:r>
          </w:p>
        </w:tc>
        <w:tc>
          <w:tcPr>
            <w:tcW w:type="dxa" w:w="226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一次性做完全部管理分析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1.3 首期产品边界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首期只围绕教师完成一门课程的生产过程建设，建议选择一门“新时代思政课程”作为样板课程。教师端必须至少支持：</w:t>
      </w:r>
    </w:p>
    <w:p>
      <w:pPr>
        <w:spacing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2F75B5"/>
          <w:sz w:val="21"/>
        </w:rPr>
        <w:t xml:space="preserve">1. </w:t>
      </w:r>
      <w:r>
        <w:rPr>
          <w:rFonts w:ascii="Noto Sans CJK SC" w:hAnsi="Noto Sans CJK SC" w:eastAsia="Noto Sans CJK SC"/>
          <w:sz w:val="21"/>
        </w:rPr>
        <w:t>上传教材、教学大纲、政策材料、案例、图片、视频和已有PPT，并看到解析状态与质量。</w:t>
      </w:r>
    </w:p>
    <w:p>
      <w:pPr>
        <w:spacing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2F75B5"/>
          <w:sz w:val="21"/>
        </w:rPr>
        <w:t xml:space="preserve">2. </w:t>
      </w:r>
      <w:r>
        <w:rPr>
          <w:rFonts w:ascii="Noto Sans CJK SC" w:hAnsi="Noto Sans CJK SC" w:eastAsia="Noto Sans CJK SC"/>
          <w:sz w:val="21"/>
        </w:rPr>
        <w:t>基于指定材料生成候选知识图谱，教师可查看来源、修改节点和关系、处理低置信度问题并发布正式版。</w:t>
      </w:r>
    </w:p>
    <w:p>
      <w:pPr>
        <w:spacing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2F75B5"/>
          <w:sz w:val="21"/>
        </w:rPr>
        <w:t xml:space="preserve">3. </w:t>
      </w:r>
      <w:r>
        <w:rPr>
          <w:rFonts w:ascii="Noto Sans CJK SC" w:hAnsi="Noto Sans CJK SC" w:eastAsia="Noto Sans CJK SC"/>
          <w:sz w:val="21"/>
        </w:rPr>
        <w:t>基于课程目标和正式知识图谱生成课程蓝图，包括周次、课时、重难点、活动与考核。</w:t>
      </w:r>
    </w:p>
    <w:p>
      <w:pPr>
        <w:spacing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2F75B5"/>
          <w:sz w:val="21"/>
        </w:rPr>
        <w:t xml:space="preserve">4. </w:t>
      </w:r>
      <w:r>
        <w:rPr>
          <w:rFonts w:ascii="Noto Sans CJK SC" w:hAnsi="Noto Sans CJK SC" w:eastAsia="Noto Sans CJK SC"/>
          <w:sz w:val="21"/>
        </w:rPr>
        <w:t>按课时生成教案、PPT、测验、互动场景或PBL项目，并进入OpenMAIC编辑器继续修改。</w:t>
      </w:r>
    </w:p>
    <w:p>
      <w:pPr>
        <w:spacing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2F75B5"/>
          <w:sz w:val="21"/>
        </w:rPr>
        <w:t xml:space="preserve">5. </w:t>
      </w:r>
      <w:r>
        <w:rPr>
          <w:rFonts w:ascii="Noto Sans CJK SC" w:hAnsi="Noto Sans CJK SC" w:eastAsia="Noto Sans CJK SC"/>
          <w:sz w:val="21"/>
        </w:rPr>
        <w:t>发布为学生可学习的互动课堂，学习与考核数据回流元知。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2576842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76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color w:val="5B6573"/>
          <w:sz w:val="18"/>
        </w:rPr>
        <w:t>图1-1 教师端首期完整生产闭环</w:t>
      </w:r>
    </w:p>
    <w:p>
      <w:r>
        <w:br w:type="page"/>
      </w:r>
    </w:p>
    <w:p>
      <w:pPr>
        <w:spacing w:before="280" w:after="80"/>
      </w:pPr>
      <w:r>
        <w:rPr>
          <w:rFonts w:ascii="Noto Sans CJK SC" w:hAnsi="Noto Sans CJK SC" w:eastAsia="Noto Sans CJK SC"/>
          <w:b/>
          <w:color w:val="2F75B5"/>
          <w:sz w:val="26"/>
        </w:rPr>
        <w:t>第2章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1F4E78"/>
          <w:sz w:val="46"/>
        </w:rPr>
        <w:t>现有代码审查与问题定位</w:t>
      </w:r>
    </w:p>
    <w:p>
      <w:pPr>
        <w:spacing w:after="280"/>
      </w:pPr>
      <w:r>
        <w:rPr>
          <w:rFonts w:ascii="Noto Sans CJK SC" w:hAnsi="Noto Sans CJK SC" w:eastAsia="Noto Sans CJK SC"/>
          <w:color w:val="5B6573"/>
          <w:sz w:val="21"/>
        </w:rPr>
        <w:t>问题并非全部代码不可用，而是同一业务链路存在“真实实现、Mock、占位、重复实现”并行。</w:t>
      </w:r>
    </w:p>
    <w:p>
      <w:pPr>
        <w:spacing w:after="240"/>
        <w:pBdr>
          <w:bottom w:val="single" w:sz="10" w:space="1" w:color="2F75B5"/>
        </w:pBdr>
      </w:pP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2.1 可保留的核心资产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226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现有资产</w:t>
            </w:r>
          </w:p>
        </w:tc>
        <w:tc>
          <w:tcPr>
            <w:tcW w:type="dxa" w:w="3685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保留理由</w:t>
            </w:r>
          </w:p>
        </w:tc>
        <w:tc>
          <w:tcPr>
            <w:tcW w:type="dxa" w:w="3969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整改方式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Spring Boot业务后台</w:t>
            </w:r>
          </w:p>
        </w:tc>
        <w:tc>
          <w:tcPr>
            <w:tcW w:type="dxa" w:w="36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课程、专业、组织、权限、资源、作业、成绩、OBE和审批等领域已形成较多实体与接口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继续作为核心业务主系统，禁止再直接调用大模型</w:t>
            </w:r>
          </w:p>
        </w:tc>
      </w:tr>
      <w:tr>
        <w:tc>
          <w:tcPr>
            <w:tcW w:type="dxa" w:w="226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课程知识图谱版本模型</w:t>
            </w:r>
          </w:p>
        </w:tc>
        <w:tc>
          <w:tcPr>
            <w:tcW w:type="dxa" w:w="368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已有课程图谱、版本、正式版/草稿、差异、发布、节点属性与来源记录</w:t>
            </w:r>
          </w:p>
        </w:tc>
        <w:tc>
          <w:tcPr>
            <w:tcW w:type="dxa" w:w="3969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保留数据治理思想，重构生成工作流和前端审校体验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资源与文件处理</w:t>
            </w:r>
          </w:p>
        </w:tc>
        <w:tc>
          <w:tcPr>
            <w:tcW w:type="dxa" w:w="36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已有上传、对象存储、提取任务、OCR/文档处理入口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统一为文档解析流水线，去除供应商文件ID主导模式</w:t>
            </w:r>
          </w:p>
        </w:tc>
      </w:tr>
      <w:tr>
        <w:tc>
          <w:tcPr>
            <w:tcW w:type="dxa" w:w="226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OBE/评价模块</w:t>
            </w:r>
          </w:p>
        </w:tc>
        <w:tc>
          <w:tcPr>
            <w:tcW w:type="dxa" w:w="368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已有较丰富的评估、指标、任务和结果模型</w:t>
            </w:r>
          </w:p>
        </w:tc>
        <w:tc>
          <w:tcPr>
            <w:tcW w:type="dxa" w:w="3969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后续接收教学场景和学习证据，不在首期重写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教师空间视觉基线</w:t>
            </w:r>
          </w:p>
        </w:tc>
        <w:tc>
          <w:tcPr>
            <w:tcW w:type="dxa" w:w="36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已有Notion-like顶部标签和布局规范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保留外壳与文案，重构标签内部信息架构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2.2 教师端当前关键问题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181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328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代码证据</w:t>
            </w:r>
          </w:p>
        </w:tc>
        <w:tc>
          <w:tcPr>
            <w:tcW w:type="dxa" w:w="2551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2551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整改结论</w:t>
            </w:r>
          </w:p>
        </w:tc>
      </w:tr>
      <w:tr>
        <w:tc>
          <w:tcPr>
            <w:tcW w:type="dxa" w:w="181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主页面过度集中</w:t>
            </w:r>
          </w:p>
        </w:tc>
        <w:tc>
          <w:tcPr>
            <w:tcW w:type="dxa" w:w="32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NewCourseSpace.vue约1869行，资源、图谱、AI、版本、上传和多种视图聚合</w:t>
            </w:r>
          </w:p>
        </w:tc>
        <w:tc>
          <w:tcPr>
            <w:tcW w:type="dxa" w:w="25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难以并行开发、状态互相污染、Agent修改风险高</w:t>
            </w:r>
          </w:p>
        </w:tc>
        <w:tc>
          <w:tcPr>
            <w:tcW w:type="dxa" w:w="25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拆为页面容器、领域Store、API Client和独立工作区</w:t>
            </w:r>
          </w:p>
        </w:tc>
      </w:tr>
      <w:tr>
        <w:tc>
          <w:tcPr>
            <w:tcW w:type="dxa" w:w="181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AI聊天仍为演示</w:t>
            </w:r>
          </w:p>
        </w:tc>
        <w:tc>
          <w:tcPr>
            <w:tcW w:type="dxa" w:w="328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NewCourseSpace给AISidebar固定传mock-mode=true；ChatBox逐字模拟回复</w:t>
            </w:r>
          </w:p>
        </w:tc>
        <w:tc>
          <w:tcPr>
            <w:tcW w:type="dxa" w:w="255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教师无法区分真实任务和演示，历史会话也未服务端化</w:t>
            </w:r>
          </w:p>
        </w:tc>
        <w:tc>
          <w:tcPr>
            <w:tcW w:type="dxa" w:w="255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改成上下文型教师助手，统一接AI Run与真实事件</w:t>
            </w:r>
          </w:p>
        </w:tc>
      </w:tr>
      <w:tr>
        <w:tc>
          <w:tcPr>
            <w:tcW w:type="dxa" w:w="181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课程助教和智能课件占位</w:t>
            </w:r>
          </w:p>
        </w:tc>
        <w:tc>
          <w:tcPr>
            <w:tcW w:type="dxa" w:w="32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课程助教、智能课件、作业和讨论等页面显示“功能正在开发中”</w:t>
            </w:r>
          </w:p>
        </w:tc>
        <w:tc>
          <w:tcPr>
            <w:tcW w:type="dxa" w:w="25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教师端看似完整但关键价值点不可用</w:t>
            </w:r>
          </w:p>
        </w:tc>
        <w:tc>
          <w:tcPr>
            <w:tcW w:type="dxa" w:w="25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首期删除虚假入口或替换为可用MVP</w:t>
            </w:r>
          </w:p>
        </w:tc>
      </w:tr>
      <w:tr>
        <w:tc>
          <w:tcPr>
            <w:tcW w:type="dxa" w:w="181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备课数据来自内置样例</w:t>
            </w:r>
          </w:p>
        </w:tc>
        <w:tc>
          <w:tcPr>
            <w:tcW w:type="dxa" w:w="328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syllabus.ts内置算法课和思政课完整课程数据</w:t>
            </w:r>
          </w:p>
        </w:tc>
        <w:tc>
          <w:tcPr>
            <w:tcW w:type="dxa" w:w="255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课程目标、知识点、周次与课时未与后台课程真实绑定</w:t>
            </w:r>
          </w:p>
        </w:tc>
        <w:tc>
          <w:tcPr>
            <w:tcW w:type="dxa" w:w="255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建立Course Blueprint服务与持久化接口</w:t>
            </w:r>
          </w:p>
        </w:tc>
      </w:tr>
      <w:tr>
        <w:tc>
          <w:tcPr>
            <w:tcW w:type="dxa" w:w="181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图谱前端混合真假链路</w:t>
            </w:r>
          </w:p>
        </w:tc>
        <w:tc>
          <w:tcPr>
            <w:tcW w:type="dxa" w:w="32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GenerationWizard使用setTimeout；KnowledgeGraph保留随机节点Mock Diff</w:t>
            </w:r>
          </w:p>
        </w:tc>
        <w:tc>
          <w:tcPr>
            <w:tcW w:type="dxa" w:w="25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真实后端作业能力无法被教师理解和审校</w:t>
            </w:r>
          </w:p>
        </w:tc>
        <w:tc>
          <w:tcPr>
            <w:tcW w:type="dxa" w:w="25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所有进度、差异和质量结果必须来自后端事件与版本</w:t>
            </w:r>
          </w:p>
        </w:tc>
      </w:tr>
      <w:tr>
        <w:tc>
          <w:tcPr>
            <w:tcW w:type="dxa" w:w="181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图谱保存无实现</w:t>
            </w:r>
          </w:p>
        </w:tc>
        <w:tc>
          <w:tcPr>
            <w:tcW w:type="dxa" w:w="328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handleSaveGraph仅console.log</w:t>
            </w:r>
          </w:p>
        </w:tc>
        <w:tc>
          <w:tcPr>
            <w:tcW w:type="dxa" w:w="255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人工修改不能成为受控草稿版本</w:t>
            </w:r>
          </w:p>
        </w:tc>
        <w:tc>
          <w:tcPr>
            <w:tcW w:type="dxa" w:w="255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增加节点/边Patch API、草稿保存与冲突处理</w:t>
            </w:r>
          </w:p>
        </w:tc>
      </w:tr>
      <w:tr>
        <w:tc>
          <w:tcPr>
            <w:tcW w:type="dxa" w:w="181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资源选择仍依赖Mock</w:t>
            </w:r>
          </w:p>
        </w:tc>
        <w:tc>
          <w:tcPr>
            <w:tcW w:type="dxa" w:w="32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ResourceSelector使用mockFiles，QuestionSelector为Mock题库</w:t>
            </w:r>
          </w:p>
        </w:tc>
        <w:tc>
          <w:tcPr>
            <w:tcW w:type="dxa" w:w="25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生成范围和题库不能可信复现</w:t>
            </w:r>
          </w:p>
        </w:tc>
        <w:tc>
          <w:tcPr>
            <w:tcW w:type="dxa" w:w="25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统一使用课程资源服务和题库服务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2.3 AI层当前关键问题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Java后端、Next.js AI Gateway和前端AI SDK存在多套模型调用路径，无法统一模型策略、成本、配额、重试与审计。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摘要、大纲、知识点、核心概念、难度评估等Prompt分散在Java、Next.js和Vue页面，缺少版本与结构化输出契约。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“严格输出JSON”主要依赖Prompt约束，缺少JSON Schema/Zod校验、修复重试和输出版本迁移。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现有ai_jobs、chat_sessions、chat_messages等数据模型没有形成端到端统一执行闭环。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Graphiti被同时用于解析、OCR、检索、图谱生成和上下文，职责过重；浏览器/网关还存在过宽的代理路径。</w:t>
      </w: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2.4 图谱后端现状：基础较多，但工作流耦合严重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GraphJobScheduler约880行，集中承担任务扫描、超时重试、Outline派发、Graph派发、版本完成、质量评估、节点保存、标注、融合和溯源等职责。其优点是已经具备异步、幂等、版本、质量与溯源意识；缺点是阶段耦合、可观测性和测试性不足，难以由Codex/Claude Code安全并行修改。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2835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已有能力</w:t>
            </w:r>
          </w:p>
        </w:tc>
        <w:tc>
          <w:tcPr>
            <w:tcW w:type="dxa" w:w="2835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评价</w:t>
            </w:r>
          </w:p>
        </w:tc>
        <w:tc>
          <w:tcPr>
            <w:tcW w:type="dxa" w:w="3969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下一步</w:t>
            </w:r>
          </w:p>
        </w:tc>
      </w:tr>
      <w:tr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生成/更新两种模式、baseVersion</w:t>
            </w:r>
          </w:p>
        </w:tc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正确方向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保留并升级为统一Workflow状态机</w:t>
            </w:r>
          </w:p>
        </w:tc>
      </w:tr>
      <w:tr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图谱版本、正式版、草稿与差异</w:t>
            </w:r>
          </w:p>
        </w:tc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有治理基础</w:t>
            </w:r>
          </w:p>
        </w:tc>
        <w:tc>
          <w:tcPr>
            <w:tcW w:type="dxa" w:w="3969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补充真实节点/边Patch和冲突策略</w:t>
            </w:r>
          </w:p>
        </w:tc>
      </w:tr>
      <w:tr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节点属性标注、来源溯源、向量检索</w:t>
            </w:r>
          </w:p>
        </w:tc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具备高级能力雏形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统一证据模型和置信度，前端可视化</w:t>
            </w:r>
          </w:p>
        </w:tc>
      </w:tr>
      <w:tr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质量检查含覆盖率、环路等</w:t>
            </w:r>
          </w:p>
        </w:tc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有价值</w:t>
            </w:r>
          </w:p>
        </w:tc>
        <w:tc>
          <w:tcPr>
            <w:tcW w:type="dxa" w:w="3969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形成发布门禁和教师待处理队列</w:t>
            </w:r>
          </w:p>
        </w:tc>
      </w:tr>
      <w:tr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定时轮询与长类调度</w:t>
            </w:r>
          </w:p>
        </w:tc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维护风险较高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拆分步骤Handler，引入任务队列或可靠状态机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2.5 工程基线风险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FF2F2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10" w:color="B23A3A"/>
              <w:left w:val="single" w:sz="10" w:color="B23A3A"/>
              <w:bottom w:val="single" w:sz="4" w:color="D4E1EC"/>
              <w:right w:val="single" w:sz="4" w:color="D4E1EC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B23A3A"/>
                <w:sz w:val="22"/>
              </w:rPr>
              <w:t>必须在功能整改前完成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源码中存在配置密钥直写风险，已提交过的数据库、JWT和模型密钥应立即轮换。仓库未发现第一方Java、Vue或AI Gateway自动化测试；历史日志还记录过TypeScript和Java构建失败，均须纳入P0基线修复。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</w:trPr>
        <w:tc>
          <w:tcPr>
            <w:tcW w:type="dxa" w:w="2835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P0检查项</w:t>
            </w:r>
          </w:p>
        </w:tc>
        <w:tc>
          <w:tcPr>
            <w:tcW w:type="dxa" w:w="6803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完成标准</w:t>
            </w:r>
          </w:p>
        </w:tc>
      </w:tr>
      <w:tr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密钥与配置</w:t>
            </w:r>
          </w:p>
        </w:tc>
        <w:tc>
          <w:tcPr>
            <w:tcW w:type="dxa" w:w="680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旧密钥全部作废；配置仅从环境变量或Secret Manager读取</w:t>
            </w:r>
          </w:p>
        </w:tc>
      </w:tr>
      <w:tr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全仓构建</w:t>
            </w:r>
          </w:p>
        </w:tc>
        <w:tc>
          <w:tcPr>
            <w:tcW w:type="dxa" w:w="6803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Java、Vue、AI Runtime和OpenMAIC适配端均可重复构建</w:t>
            </w:r>
          </w:p>
        </w:tc>
      </w:tr>
      <w:tr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认证与网络</w:t>
            </w:r>
          </w:p>
        </w:tc>
        <w:tc>
          <w:tcPr>
            <w:tcW w:type="dxa" w:w="680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AI Runtime校验元知身份；Graphiti与模型服务不暴露给浏览器</w:t>
            </w:r>
          </w:p>
        </w:tc>
      </w:tr>
      <w:tr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最低测试</w:t>
            </w:r>
          </w:p>
        </w:tc>
        <w:tc>
          <w:tcPr>
            <w:tcW w:type="dxa" w:w="6803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核心契约、权限、Run状态机和教师主路径具备自动化测试</w:t>
            </w:r>
          </w:p>
        </w:tc>
      </w:tr>
      <w:tr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依赖治理</w:t>
            </w:r>
          </w:p>
        </w:tc>
        <w:tc>
          <w:tcPr>
            <w:tcW w:type="dxa" w:w="6803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锁定依赖版本，建立漏洞扫描、许可证清单和升级记录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80" w:after="80"/>
      </w:pPr>
      <w:r>
        <w:rPr>
          <w:rFonts w:ascii="Noto Sans CJK SC" w:hAnsi="Noto Sans CJK SC" w:eastAsia="Noto Sans CJK SC"/>
          <w:b/>
          <w:color w:val="2F75B5"/>
          <w:sz w:val="26"/>
        </w:rPr>
        <w:t>第3章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1F4E78"/>
          <w:sz w:val="46"/>
        </w:rPr>
        <w:t>目标架构与开源项目融合</w:t>
      </w:r>
    </w:p>
    <w:p>
      <w:pPr>
        <w:spacing w:after="280"/>
      </w:pPr>
      <w:r>
        <w:rPr>
          <w:rFonts w:ascii="Noto Sans CJK SC" w:hAnsi="Noto Sans CJK SC" w:eastAsia="Noto Sans CJK SC"/>
          <w:color w:val="5B6573"/>
          <w:sz w:val="21"/>
        </w:rPr>
        <w:t>元知拥有业务、知识与评价；开源项目提供经过验证的专用内核。</w:t>
      </w:r>
    </w:p>
    <w:p>
      <w:pPr>
        <w:spacing w:after="240"/>
        <w:pBdr>
          <w:bottom w:val="single" w:sz="10" w:space="1" w:color="2F75B5"/>
        </w:pBdr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92000" cy="430000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color w:val="5B6573"/>
          <w:sz w:val="18"/>
        </w:rPr>
        <w:t>图3-1 元知OS整改后目标架构</w:t>
      </w: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3.1 架构边界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1701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3969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元知自研职责</w:t>
            </w:r>
          </w:p>
        </w:tc>
        <w:tc>
          <w:tcPr>
            <w:tcW w:type="dxa" w:w="3969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开源项目/技术</w:t>
            </w:r>
          </w:p>
        </w:tc>
      </w:tr>
      <w:t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产品层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教师端、学生端、管理端、课程工作台与统一身份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Vue；OpenMAIC编辑器/播放器以独立应用嵌入</w:t>
            </w:r>
          </w:p>
        </w:tc>
      </w:tr>
      <w:tr>
        <w:tc>
          <w:tcPr>
            <w:tcW w:type="dxa" w:w="170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核心业务层</w:t>
            </w:r>
          </w:p>
        </w:tc>
        <w:tc>
          <w:tcPr>
            <w:tcW w:type="dxa" w:w="3969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课程、专业、资源、权限、OBE、审批、发布、成绩</w:t>
            </w:r>
          </w:p>
        </w:tc>
        <w:tc>
          <w:tcPr>
            <w:tcW w:type="dxa" w:w="3969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Spring Boot/PostgreSQL</w:t>
            </w:r>
          </w:p>
        </w:tc>
      </w:tr>
      <w:t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AI Runtime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模型路由、Skill、上下文、Agent、AI Run、事件、产物、评测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TypeScript服务；pi-agent-core作为Agent Harness</w:t>
            </w:r>
          </w:p>
        </w:tc>
      </w:tr>
      <w:tr>
        <w:tc>
          <w:tcPr>
            <w:tcW w:type="dxa" w:w="170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课程体验引擎</w:t>
            </w:r>
          </w:p>
        </w:tc>
        <w:tc>
          <w:tcPr>
            <w:tcW w:type="dxa" w:w="3969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Scene生成、课件编辑、课堂动作、测验、PBL和多Agent课堂</w:t>
            </w:r>
          </w:p>
        </w:tc>
        <w:tc>
          <w:tcPr>
            <w:tcW w:type="dxa" w:w="3969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OpenMAIC</w:t>
            </w:r>
          </w:p>
        </w:tc>
      </w:tr>
      <w:t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图谱与上下文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官方课程图谱、动态记忆、混合检索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元知Graph Service + Graphiti</w:t>
            </w:r>
          </w:p>
        </w:tc>
      </w:tr>
      <w:tr>
        <w:tc>
          <w:tcPr>
            <w:tcW w:type="dxa" w:w="170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解析与基础设施</w:t>
            </w:r>
          </w:p>
        </w:tc>
        <w:tc>
          <w:tcPr>
            <w:tcW w:type="dxa" w:w="3969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文档解析、对象存储、队列、监控和审计</w:t>
            </w:r>
          </w:p>
        </w:tc>
        <w:tc>
          <w:tcPr>
            <w:tcW w:type="dxa" w:w="3969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MinerU可选；MinIO、Redis、PGVector/全文检索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3.2 OpenMAIC：互动课程生成与课堂运行内核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推荐定位：元知智能课程引擎，而不是元知主平台。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优先复用：MAIC DSL、Slide/Quiz/Interactive/PBL场景、Renderer、课堂Playback与Action Engine、PPTX/HTML/课堂包导出。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元知替换：用户与权限、模型配置、浏览器存储、本地任务、课程主数据、发布审批和学习数据归属。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集成方式：首期保留其Next.js/React完整编辑器，通过同域路由或受控iframe/Host SDK嵌入Vue教师端；不要一开始改写成Vue。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数据边界：元知Course Blueprint是业务主模型，OpenMAIC Experience Document只是课程体验产物。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2551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OpenMAIC能力</w:t>
            </w:r>
          </w:p>
        </w:tc>
        <w:tc>
          <w:tcPr>
            <w:tcW w:type="dxa" w:w="2551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处理方式</w:t>
            </w:r>
          </w:p>
        </w:tc>
        <w:tc>
          <w:tcPr>
            <w:tcW w:type="dxa" w:w="4535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元知适配点</w:t>
            </w:r>
          </w:p>
        </w:tc>
      </w:tr>
      <w:tr>
        <w:tc>
          <w:tcPr>
            <w:tcW w:type="dxa" w:w="25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@openmaic/dsl</w:t>
            </w:r>
          </w:p>
        </w:tc>
        <w:tc>
          <w:tcPr>
            <w:tcW w:type="dxa" w:w="25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直接复用并扩展</w:t>
            </w:r>
          </w:p>
        </w:tc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增加元知scene binding和版本映射</w:t>
            </w:r>
          </w:p>
        </w:tc>
      </w:tr>
      <w:tr>
        <w:tc>
          <w:tcPr>
            <w:tcW w:type="dxa" w:w="255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Renderer/Importer</w:t>
            </w:r>
          </w:p>
        </w:tc>
        <w:tc>
          <w:tcPr>
            <w:tcW w:type="dxa" w:w="255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复用</w:t>
            </w:r>
          </w:p>
        </w:tc>
        <w:tc>
          <w:tcPr>
            <w:tcW w:type="dxa" w:w="45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对象存储URL、字体和媒体注入</w:t>
            </w:r>
          </w:p>
        </w:tc>
      </w:tr>
      <w:tr>
        <w:tc>
          <w:tcPr>
            <w:tcW w:type="dxa" w:w="25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完整编辑器</w:t>
            </w:r>
          </w:p>
        </w:tc>
        <w:tc>
          <w:tcPr>
            <w:tcW w:type="dxa" w:w="25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Fork但尽量跟上游</w:t>
            </w:r>
          </w:p>
        </w:tc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SSO、课程ID、保存回调、品牌和权限</w:t>
            </w:r>
          </w:p>
        </w:tc>
      </w:tr>
      <w:tr>
        <w:tc>
          <w:tcPr>
            <w:tcW w:type="dxa" w:w="255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Generation Pipeline</w:t>
            </w:r>
          </w:p>
        </w:tc>
        <w:tc>
          <w:tcPr>
            <w:tcW w:type="dxa" w:w="255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通过Skill调用或适配</w:t>
            </w:r>
          </w:p>
        </w:tc>
        <w:tc>
          <w:tcPr>
            <w:tcW w:type="dxa" w:w="45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输入Course Blueprint与可信上下文</w:t>
            </w:r>
          </w:p>
        </w:tc>
      </w:tr>
      <w:tr>
        <w:tc>
          <w:tcPr>
            <w:tcW w:type="dxa" w:w="25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Playback/Action</w:t>
            </w:r>
          </w:p>
        </w:tc>
        <w:tc>
          <w:tcPr>
            <w:tcW w:type="dxa" w:w="25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直接复用</w:t>
            </w:r>
          </w:p>
        </w:tc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课堂行为回流元知Runtime Record</w:t>
            </w:r>
          </w:p>
        </w:tc>
      </w:tr>
      <w:tr>
        <w:tc>
          <w:tcPr>
            <w:tcW w:type="dxa" w:w="255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IndexedDB/本地任务</w:t>
            </w:r>
          </w:p>
        </w:tc>
        <w:tc>
          <w:tcPr>
            <w:tcW w:type="dxa" w:w="255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替换</w:t>
            </w:r>
          </w:p>
        </w:tc>
        <w:tc>
          <w:tcPr>
            <w:tcW w:type="dxa" w:w="45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YuanzhiDocumentStore、AssetProvider、AI Run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3.3 pi：统一Agent Harness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pi-agent-core提供Agent运行循环、工具调用和状态管理，适合作为元知教师助手、编辑助手和课程诊断Agent的通用Harness。它不应承担学校权限、配额、模型选择和业务状态。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311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使用内容</w:t>
            </w:r>
          </w:p>
        </w:tc>
        <w:tc>
          <w:tcPr>
            <w:tcW w:type="dxa" w:w="311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不使用/需补充</w:t>
            </w:r>
          </w:p>
        </w:tc>
        <w:tc>
          <w:tcPr>
            <w:tcW w:type="dxa" w:w="340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落地要求</w:t>
            </w:r>
          </w:p>
        </w:tc>
      </w:tr>
      <w:tr>
        <w:tc>
          <w:tcPr>
            <w:tcW w:type="dxa" w:w="311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Agent loop、history、tool calling、hooks、compaction</w:t>
            </w:r>
          </w:p>
        </w:tc>
        <w:tc>
          <w:tcPr>
            <w:tcW w:type="dxa" w:w="311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不直接以pi-coding-agent作为产品；不依赖其默认权限边界</w:t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每次运行注入tenant/user/course/session；工具白名单；容器或策略沙箱</w:t>
            </w:r>
          </w:p>
        </w:tc>
      </w:tr>
      <w:tr>
        <w:tc>
          <w:tcPr>
            <w:tcW w:type="dxa" w:w="311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共享Harness服务</w:t>
            </w:r>
          </w:p>
        </w:tc>
        <w:tc>
          <w:tcPr>
            <w:tcW w:type="dxa" w:w="311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禁止所有用户共享同一个有状态Agent实例</w:t>
            </w:r>
          </w:p>
        </w:tc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共享模型连接与Skill注册表，隔离会话、记忆、权限和配额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3.4 Graphiti：动态上下文与Agent记忆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Graphiti擅长时序上下文图、增量事实、来源追溯和混合检索，适合记录师生互动、教师偏好、课程运行事实和Agent长期记忆。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官方课程知识图谱必须继续由元知管理，要求稳定本体、版本审批、来源证据、课程目标和OBE绑定。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当前仓库不应继续维护完整Graphiti源码副本，应将其独立部署，元知只保留Adapter、Client、DTO和部署配置。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Graphiti本身不是开箱即用的企业平台，用户、会话、权限、治理和运维仍需元知补齐。</w:t>
      </w: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3.5 MinerU：文档解析增强（建议可选引入）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教师上传的教材、政策文件、论文、扫描PDF和PPT包含复杂版面、表格、公式与图片。建议将MinerU作为可插拔解析器，输出统一Document AST/Markdown和元素坐标；解析服务不得直接决定课程知识图谱，只负责提供高质量、可定位的源材料。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198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340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核心用途</w:t>
            </w:r>
          </w:p>
        </w:tc>
        <w:tc>
          <w:tcPr>
            <w:tcW w:type="dxa" w:w="198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是否纳入首期</w:t>
            </w:r>
          </w:p>
        </w:tc>
        <w:tc>
          <w:tcPr>
            <w:tcW w:type="dxa" w:w="2835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许可证/注意事项</w:t>
            </w:r>
          </w:p>
        </w:tc>
      </w:tr>
      <w:tr>
        <w:tc>
          <w:tcPr>
            <w:tcW w:type="dxa" w:w="19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OpenMAIC</w:t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互动课程生成、编辑与播放</w:t>
            </w:r>
          </w:p>
        </w:tc>
        <w:tc>
          <w:tcPr>
            <w:tcW w:type="dxa" w:w="19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是，P2</w:t>
            </w:r>
          </w:p>
        </w:tc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根项目MIT；注意第三方组件独立许可证</w:t>
            </w:r>
          </w:p>
        </w:tc>
      </w:tr>
      <w:tr>
        <w:tc>
          <w:tcPr>
            <w:tcW w:type="dxa" w:w="198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pi</w:t>
            </w:r>
          </w:p>
        </w:tc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Agent Harness</w:t>
            </w:r>
          </w:p>
        </w:tc>
        <w:tc>
          <w:tcPr>
            <w:tcW w:type="dxa" w:w="198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是，P1</w:t>
            </w:r>
          </w:p>
        </w:tc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MIT；自身不提供强权限隔离</w:t>
            </w:r>
          </w:p>
        </w:tc>
      </w:tr>
      <w:tr>
        <w:tc>
          <w:tcPr>
            <w:tcW w:type="dxa" w:w="19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Graphiti</w:t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动态上下文图与Agent记忆</w:t>
            </w:r>
          </w:p>
        </w:tc>
        <w:tc>
          <w:tcPr>
            <w:tcW w:type="dxa" w:w="19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保留但重新定位</w:t>
            </w:r>
          </w:p>
        </w:tc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自托管需要自建治理与运维</w:t>
            </w:r>
          </w:p>
        </w:tc>
      </w:tr>
      <w:tr>
        <w:tc>
          <w:tcPr>
            <w:tcW w:type="dxa" w:w="198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MinerU</w:t>
            </w:r>
          </w:p>
        </w:tc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复杂文档解析</w:t>
            </w:r>
          </w:p>
        </w:tc>
        <w:tc>
          <w:tcPr>
            <w:tcW w:type="dxa" w:w="198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建议，按资源决定</w:t>
            </w:r>
          </w:p>
        </w:tc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部署与模型资源需单独评估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80" w:after="80"/>
      </w:pPr>
      <w:r>
        <w:rPr>
          <w:rFonts w:ascii="Noto Sans CJK SC" w:hAnsi="Noto Sans CJK SC" w:eastAsia="Noto Sans CJK SC"/>
          <w:b/>
          <w:color w:val="2F75B5"/>
          <w:sz w:val="26"/>
        </w:rPr>
        <w:t>第4章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1F4E78"/>
          <w:sz w:val="46"/>
        </w:rPr>
        <w:t>教师端首期产品整改</w:t>
      </w:r>
    </w:p>
    <w:p>
      <w:pPr>
        <w:spacing w:after="280"/>
      </w:pPr>
      <w:r>
        <w:rPr>
          <w:rFonts w:ascii="Noto Sans CJK SC" w:hAnsi="Noto Sans CJK SC" w:eastAsia="Noto Sans CJK SC"/>
          <w:color w:val="5B6573"/>
          <w:sz w:val="21"/>
        </w:rPr>
        <w:t>教师端不再以“功能入口数量”为目标，而以“完成一门课”为目标。</w:t>
      </w:r>
    </w:p>
    <w:p>
      <w:pPr>
        <w:spacing w:after="240"/>
        <w:pBdr>
          <w:bottom w:val="single" w:sz="10" w:space="1" w:color="2F75B5"/>
        </w:pBdr>
      </w:pP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4.1 教师端信息架构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保留现有教学空间顶部视觉基线和主要标签文案，但重新定义各标签的业务职责，避免新增更多顶层入口。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1701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现有顶层标签</w:t>
            </w:r>
          </w:p>
        </w:tc>
        <w:tc>
          <w:tcPr>
            <w:tcW w:type="dxa" w:w="3685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整改后核心职责</w:t>
            </w:r>
          </w:p>
        </w:tc>
        <w:tc>
          <w:tcPr>
            <w:tcW w:type="dxa" w:w="425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首期必须提供</w:t>
            </w:r>
          </w:p>
        </w:tc>
      </w:tr>
      <w:t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课程首页</w:t>
            </w:r>
          </w:p>
        </w:tc>
        <w:tc>
          <w:tcPr>
            <w:tcW w:type="dxa" w:w="36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课程生产驾驶舱</w:t>
            </w:r>
          </w:p>
        </w:tc>
        <w:tc>
          <w:tcPr>
            <w:tcW w:type="dxa" w:w="42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待办、资源状态、图谱版本、蓝图完成度、待审资产、发布状态</w:t>
            </w:r>
          </w:p>
        </w:tc>
      </w:tr>
      <w:tr>
        <w:tc>
          <w:tcPr>
            <w:tcW w:type="dxa" w:w="170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全部资源</w:t>
            </w:r>
          </w:p>
        </w:tc>
        <w:tc>
          <w:tcPr>
            <w:tcW w:type="dxa" w:w="368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可信课程材料中心</w:t>
            </w:r>
          </w:p>
        </w:tc>
        <w:tc>
          <w:tcPr>
            <w:tcW w:type="dxa" w:w="425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上传/同步、解析质量、标签、来源、版本、AI可用状态</w:t>
            </w:r>
          </w:p>
        </w:tc>
      </w:tr>
      <w:t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教学备课</w:t>
            </w:r>
          </w:p>
        </w:tc>
        <w:tc>
          <w:tcPr>
            <w:tcW w:type="dxa" w:w="36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课时级课程蓝图与资产编排</w:t>
            </w:r>
          </w:p>
        </w:tc>
        <w:tc>
          <w:tcPr>
            <w:tcW w:type="dxa" w:w="42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周次/课时、CO/知识点、重难点、活动、资源、教学资产</w:t>
            </w:r>
          </w:p>
        </w:tc>
      </w:tr>
      <w:tr>
        <w:tc>
          <w:tcPr>
            <w:tcW w:type="dxa" w:w="170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课程大纲</w:t>
            </w:r>
          </w:p>
        </w:tc>
        <w:tc>
          <w:tcPr>
            <w:tcW w:type="dxa" w:w="368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课程目标与教学计划治理</w:t>
            </w:r>
          </w:p>
        </w:tc>
        <w:tc>
          <w:tcPr>
            <w:tcW w:type="dxa" w:w="425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导入、结构化确认、版本、CO和考核方式</w:t>
            </w:r>
          </w:p>
        </w:tc>
      </w:tr>
      <w:t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知识图谱</w:t>
            </w:r>
          </w:p>
        </w:tc>
        <w:tc>
          <w:tcPr>
            <w:tcW w:type="dxa" w:w="36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图谱生成与审校工作室</w:t>
            </w:r>
          </w:p>
        </w:tc>
        <w:tc>
          <w:tcPr>
            <w:tcW w:type="dxa" w:w="42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范围、进度、差异、证据、属性、质量、发布</w:t>
            </w:r>
          </w:p>
        </w:tc>
      </w:tr>
      <w:tr>
        <w:tc>
          <w:tcPr>
            <w:tcW w:type="dxa" w:w="170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教研笔记</w:t>
            </w:r>
          </w:p>
        </w:tc>
        <w:tc>
          <w:tcPr>
            <w:tcW w:type="dxa" w:w="368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教师沉淀与AI协作记录</w:t>
            </w:r>
          </w:p>
        </w:tc>
        <w:tc>
          <w:tcPr>
            <w:tcW w:type="dxa" w:w="425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与课程/知识点/课时关联、可转为资源或改进项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4.2 课程首页整改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首屏只显示影响课程交付的五类状态：资源是否可用、图谱是否发布、课程蓝图是否完成、教学资产是否完成、课程是否已发布。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每一个状态必须有“下一步操作”，而不是单纯展示统计卡片。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展示最近AI Run及失败原因，教师可以继续、重试或回到问题步骤。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按课程版本展示生产进度，避免资源和图谱更新后旧资产仍被误发布。</w:t>
      </w: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4.3 资源中心整改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198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区域</w:t>
            </w:r>
          </w:p>
        </w:tc>
        <w:tc>
          <w:tcPr>
            <w:tcW w:type="dxa" w:w="4535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交互/数据</w:t>
            </w:r>
          </w:p>
        </w:tc>
        <w:tc>
          <w:tcPr>
            <w:tcW w:type="dxa" w:w="311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AI辅助</w:t>
            </w:r>
          </w:p>
        </w:tc>
      </w:tr>
      <w:tr>
        <w:tc>
          <w:tcPr>
            <w:tcW w:type="dxa" w:w="19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资源列表</w:t>
            </w:r>
          </w:p>
        </w:tc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文件、类型、版本、来源、解析状态、更新时间、被哪些课时/节点使用</w:t>
            </w:r>
          </w:p>
        </w:tc>
        <w:tc>
          <w:tcPr>
            <w:tcW w:type="dxa" w:w="311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自动分类与重复提示</w:t>
            </w:r>
          </w:p>
        </w:tc>
      </w:tr>
      <w:tr>
        <w:tc>
          <w:tcPr>
            <w:tcW w:type="dxa" w:w="198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解析详情</w:t>
            </w:r>
          </w:p>
        </w:tc>
        <w:tc>
          <w:tcPr>
            <w:tcW w:type="dxa" w:w="45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文本层、图片、表格、公式、页码/时间码、解析告警</w:t>
            </w:r>
          </w:p>
        </w:tc>
        <w:tc>
          <w:tcPr>
            <w:tcW w:type="dxa" w:w="311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重跑指定解析器、人工纠正标题层级</w:t>
            </w:r>
          </w:p>
        </w:tc>
      </w:tr>
      <w:tr>
        <w:tc>
          <w:tcPr>
            <w:tcW w:type="dxa" w:w="19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生成范围篮子</w:t>
            </w:r>
          </w:p>
        </w:tc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教师明确勾选用于图谱/课程蓝图/课件的资源</w:t>
            </w:r>
          </w:p>
        </w:tc>
        <w:tc>
          <w:tcPr>
            <w:tcW w:type="dxa" w:w="311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估算上下文规模和成本</w:t>
            </w:r>
          </w:p>
        </w:tc>
      </w:tr>
      <w:tr>
        <w:tc>
          <w:tcPr>
            <w:tcW w:type="dxa" w:w="198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证据定位</w:t>
            </w:r>
          </w:p>
        </w:tc>
        <w:tc>
          <w:tcPr>
            <w:tcW w:type="dxa" w:w="45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从图谱节点或生成内容跳回原文页码/片段</w:t>
            </w:r>
          </w:p>
        </w:tc>
        <w:tc>
          <w:tcPr>
            <w:tcW w:type="dxa" w:w="311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高亮引用，显示模型置信度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4.4 教学备课整改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TeachingWorkbench当前有周次/课时编辑雏形，但数据来自前端样例Store。整改后应采用“课时卡片+右侧详情+AI建议”模式。每个课时都是一个受控Lesson Blueprint。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</w:trPr>
        <w:tc>
          <w:tcPr>
            <w:tcW w:type="dxa" w:w="226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Lesson Blueprint字段</w:t>
            </w:r>
          </w:p>
        </w:tc>
        <w:tc>
          <w:tcPr>
            <w:tcW w:type="dxa" w:w="7370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基础信息</w:t>
            </w:r>
          </w:p>
        </w:tc>
        <w:tc>
          <w:tcPr>
            <w:tcW w:type="dxa" w:w="737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周次、课时、主题、时长、教学形式</w:t>
            </w:r>
          </w:p>
        </w:tc>
      </w:tr>
      <w:tr>
        <w:tc>
          <w:tcPr>
            <w:tcW w:type="dxa" w:w="226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目标绑定</w:t>
            </w:r>
          </w:p>
        </w:tc>
        <w:tc>
          <w:tcPr>
            <w:tcW w:type="dxa" w:w="7370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课程目标CO、OBE指标、知识点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教学设计</w:t>
            </w:r>
          </w:p>
        </w:tc>
        <w:tc>
          <w:tcPr>
            <w:tcW w:type="dxa" w:w="737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导入、讲授、讨论、实践、总结和时间分配</w:t>
            </w:r>
          </w:p>
        </w:tc>
      </w:tr>
      <w:tr>
        <w:tc>
          <w:tcPr>
            <w:tcW w:type="dxa" w:w="226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重难点</w:t>
            </w:r>
          </w:p>
        </w:tc>
        <w:tc>
          <w:tcPr>
            <w:tcW w:type="dxa" w:w="7370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重点、难点、常见误区与先修检查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资源绑定</w:t>
            </w:r>
          </w:p>
        </w:tc>
        <w:tc>
          <w:tcPr>
            <w:tcW w:type="dxa" w:w="737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指定材料片段、案例、图片、视频、代码</w:t>
            </w:r>
          </w:p>
        </w:tc>
      </w:tr>
      <w:tr>
        <w:tc>
          <w:tcPr>
            <w:tcW w:type="dxa" w:w="226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评价设计</w:t>
            </w:r>
          </w:p>
        </w:tc>
        <w:tc>
          <w:tcPr>
            <w:tcW w:type="dxa" w:w="7370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课堂问题、测验、作业、PBL成果及评分规则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教学资产</w:t>
            </w:r>
          </w:p>
        </w:tc>
        <w:tc>
          <w:tcPr>
            <w:tcW w:type="dxa" w:w="737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教案、PPT、互动页面、教师讲稿、学生材料</w:t>
            </w:r>
          </w:p>
        </w:tc>
      </w:tr>
      <w:tr>
        <w:tc>
          <w:tcPr>
            <w:tcW w:type="dxa" w:w="226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版本与状态</w:t>
            </w:r>
          </w:p>
        </w:tc>
        <w:tc>
          <w:tcPr>
            <w:tcW w:type="dxa" w:w="7370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草稿、待审、已发布、需更新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4.5 教师AI助手整改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EEF5FB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10" w:color="1F4E78"/>
              <w:left w:val="single" w:sz="10" w:color="1F4E78"/>
              <w:bottom w:val="single" w:sz="4" w:color="D4E1EC"/>
              <w:right w:val="single" w:sz="4" w:color="D4E1EC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8"/>
                <w:sz w:val="22"/>
              </w:rPr>
              <w:t>从“聊天框”改成“上下文协作助手”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教师在资源、知识图谱、课程蓝图或课件页面发起操作时，助手自动携带当前课程、版本、选中对象、官方图谱、资源证据和权限。所有操作展示将修改什么、使用什么来源，并由教师确认后写入业务对象。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198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3969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建议交互</w:t>
            </w:r>
          </w:p>
        </w:tc>
        <w:tc>
          <w:tcPr>
            <w:tcW w:type="dxa" w:w="3685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执行方式</w:t>
            </w:r>
          </w:p>
        </w:tc>
      </w:tr>
      <w:tr>
        <w:tc>
          <w:tcPr>
            <w:tcW w:type="dxa" w:w="19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资源页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总结、分类、识别缺失材料</w:t>
            </w:r>
          </w:p>
        </w:tc>
        <w:tc>
          <w:tcPr>
            <w:tcW w:type="dxa" w:w="36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Skill，输出结构化建议，不直接修改</w:t>
            </w:r>
          </w:p>
        </w:tc>
      </w:tr>
      <w:tr>
        <w:tc>
          <w:tcPr>
            <w:tcW w:type="dxa" w:w="198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图谱页</w:t>
            </w:r>
          </w:p>
        </w:tc>
        <w:tc>
          <w:tcPr>
            <w:tcW w:type="dxa" w:w="3969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解释节点、补关系、找来源、处理低置信度</w:t>
            </w:r>
          </w:p>
        </w:tc>
        <w:tc>
          <w:tcPr>
            <w:tcW w:type="dxa" w:w="368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Agent+受限图谱工具，生成Patch预览</w:t>
            </w:r>
          </w:p>
        </w:tc>
      </w:tr>
      <w:tr>
        <w:tc>
          <w:tcPr>
            <w:tcW w:type="dxa" w:w="19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备课页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生成课时方案、优化活动、检查目标覆盖</w:t>
            </w:r>
          </w:p>
        </w:tc>
        <w:tc>
          <w:tcPr>
            <w:tcW w:type="dxa" w:w="36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Skill/Workflow，输出Lesson Blueprint Patch</w:t>
            </w:r>
          </w:p>
        </w:tc>
      </w:tr>
      <w:tr>
        <w:tc>
          <w:tcPr>
            <w:tcW w:type="dxa" w:w="198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课件编辑器</w:t>
            </w:r>
          </w:p>
        </w:tc>
        <w:tc>
          <w:tcPr>
            <w:tcW w:type="dxa" w:w="3969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重生成当前Scene、修改讲稿、修复互动页面</w:t>
            </w:r>
          </w:p>
        </w:tc>
        <w:tc>
          <w:tcPr>
            <w:tcW w:type="dxa" w:w="368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OpenMAIC编辑Agent，限定Scene工具</w:t>
            </w:r>
          </w:p>
        </w:tc>
      </w:tr>
      <w:tr>
        <w:tc>
          <w:tcPr>
            <w:tcW w:type="dxa" w:w="19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发布前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检查引用、覆盖、可访问性与OBE证据</w:t>
            </w:r>
          </w:p>
        </w:tc>
        <w:tc>
          <w:tcPr>
            <w:tcW w:type="dxa" w:w="36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确定性规则+模型评审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4.6 教师端界面整改原则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保留现有Notion-like低对比视觉基线，但AI任务必须使用统一状态组件，不再用高饱和弹窗模拟“正在生成”。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所有生成页固定包含：输入范围、生成步骤、产物预览、证据/质量、人工确认、版本记录六部分。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图谱和课件的AI结果默认进入草稿，不得直接覆盖正式版。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空白占位页面要么完成最小可用功能，要么从首期导航中移除，避免“假完整”。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重要对象采用双栏或三栏编辑：目录/画布/属性证据，减少多层弹窗。</w:t>
      </w:r>
    </w:p>
    <w:p>
      <w:r>
        <w:br w:type="page"/>
      </w:r>
    </w:p>
    <w:p>
      <w:pPr>
        <w:spacing w:before="280" w:after="80"/>
      </w:pPr>
      <w:r>
        <w:rPr>
          <w:rFonts w:ascii="Noto Sans CJK SC" w:hAnsi="Noto Sans CJK SC" w:eastAsia="Noto Sans CJK SC"/>
          <w:b/>
          <w:color w:val="2F75B5"/>
          <w:sz w:val="26"/>
        </w:rPr>
        <w:t>第5章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1F4E78"/>
          <w:sz w:val="46"/>
        </w:rPr>
        <w:t>知识图谱生成与治理重构</w:t>
      </w:r>
    </w:p>
    <w:p>
      <w:pPr>
        <w:spacing w:after="280"/>
      </w:pPr>
      <w:r>
        <w:rPr>
          <w:rFonts w:ascii="Noto Sans CJK SC" w:hAnsi="Noto Sans CJK SC" w:eastAsia="Noto Sans CJK SC"/>
          <w:color w:val="5B6573"/>
          <w:sz w:val="21"/>
        </w:rPr>
        <w:t>从“模型生成思维导图”升级为“有证据、可审校、可服务教学的课程知识模型”。</w:t>
      </w:r>
    </w:p>
    <w:p>
      <w:pPr>
        <w:spacing w:after="240"/>
        <w:pBdr>
          <w:bottom w:val="single" w:sz="10" w:space="1" w:color="2F75B5"/>
        </w:pBdr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92000" cy="2933053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933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color w:val="5B6573"/>
          <w:sz w:val="18"/>
        </w:rPr>
        <w:t>图5-1 课程知识图谱生成与治理流程</w:t>
      </w: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5.1 官方课程知识图谱的数据边界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198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4535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核心字段</w:t>
            </w:r>
          </w:p>
        </w:tc>
        <w:tc>
          <w:tcPr>
            <w:tcW w:type="dxa" w:w="311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9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KnowledgeNode</w:t>
            </w:r>
          </w:p>
        </w:tc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标准名称、别名、类型、定义、Bloom、难度、重要度、置信度</w:t>
            </w:r>
          </w:p>
        </w:tc>
        <w:tc>
          <w:tcPr>
            <w:tcW w:type="dxa" w:w="311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课程结构、检索和教学设计</w:t>
            </w:r>
          </w:p>
        </w:tc>
      </w:tr>
      <w:tr>
        <w:tc>
          <w:tcPr>
            <w:tcW w:type="dxa" w:w="198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KnowledgeEdge</w:t>
            </w:r>
          </w:p>
        </w:tc>
        <w:tc>
          <w:tcPr>
            <w:tcW w:type="dxa" w:w="45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源/目标、关系类型、方向、置信度、证据</w:t>
            </w:r>
          </w:p>
        </w:tc>
        <w:tc>
          <w:tcPr>
            <w:tcW w:type="dxa" w:w="311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前置、包含、对比、应用、因果等关系</w:t>
            </w:r>
          </w:p>
        </w:tc>
      </w:tr>
      <w:tr>
        <w:tc>
          <w:tcPr>
            <w:tcW w:type="dxa" w:w="19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Evidence</w:t>
            </w:r>
          </w:p>
        </w:tc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资源ID、版本、页码/时间码、片段、解析坐标、hash</w:t>
            </w:r>
          </w:p>
        </w:tc>
        <w:tc>
          <w:tcPr>
            <w:tcW w:type="dxa" w:w="311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来源定位和质量审计</w:t>
            </w:r>
          </w:p>
        </w:tc>
      </w:tr>
      <w:tr>
        <w:tc>
          <w:tcPr>
            <w:tcW w:type="dxa" w:w="198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OutcomeBinding</w:t>
            </w:r>
          </w:p>
        </w:tc>
        <w:tc>
          <w:tcPr>
            <w:tcW w:type="dxa" w:w="45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CO/OBE指标、关联强度、教学要求</w:t>
            </w:r>
          </w:p>
        </w:tc>
        <w:tc>
          <w:tcPr>
            <w:tcW w:type="dxa" w:w="311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目标与图谱对齐</w:t>
            </w:r>
          </w:p>
        </w:tc>
      </w:tr>
      <w:tr>
        <w:tc>
          <w:tcPr>
            <w:tcW w:type="dxa" w:w="19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AssetBinding</w:t>
            </w:r>
          </w:p>
        </w:tc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课时、题目、Scene、作业、案例</w:t>
            </w:r>
          </w:p>
        </w:tc>
        <w:tc>
          <w:tcPr>
            <w:tcW w:type="dxa" w:w="311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图谱驱动内容与评价</w:t>
            </w:r>
          </w:p>
        </w:tc>
      </w:tr>
      <w:tr>
        <w:tc>
          <w:tcPr>
            <w:tcW w:type="dxa" w:w="198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GraphVersion</w:t>
            </w:r>
          </w:p>
        </w:tc>
        <w:tc>
          <w:tcPr>
            <w:tcW w:type="dxa" w:w="45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基础版本、生成Run、状态、质量、发布人、备注</w:t>
            </w:r>
          </w:p>
        </w:tc>
        <w:tc>
          <w:tcPr>
            <w:tcW w:type="dxa" w:w="311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可回退、可比较、可审计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5.2 生成工作流重构</w:t>
      </w:r>
    </w:p>
    <w:p>
      <w:pPr>
        <w:spacing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2F75B5"/>
          <w:sz w:val="21"/>
        </w:rPr>
        <w:t xml:space="preserve">1. </w:t>
      </w:r>
      <w:r>
        <w:rPr>
          <w:rFonts w:ascii="Noto Sans CJK SC" w:hAnsi="Noto Sans CJK SC" w:eastAsia="Noto Sans CJK SC"/>
          <w:sz w:val="21"/>
        </w:rPr>
        <w:t>资源预检：仅允许解析成功且来源可定位的资源进入生成范围；显示缺页、OCR低质量、乱码和重复材料。</w:t>
      </w:r>
    </w:p>
    <w:p>
      <w:pPr>
        <w:spacing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2F75B5"/>
          <w:sz w:val="21"/>
        </w:rPr>
        <w:t xml:space="preserve">2. </w:t>
      </w:r>
      <w:r>
        <w:rPr>
          <w:rFonts w:ascii="Noto Sans CJK SC" w:hAnsi="Noto Sans CJK SC" w:eastAsia="Noto Sans CJK SC"/>
          <w:sz w:val="21"/>
        </w:rPr>
        <w:t>候选抽取：按章节/片段并行抽取概念、能力、案例和关系，全部使用结构化Schema输出。</w:t>
      </w:r>
    </w:p>
    <w:p>
      <w:pPr>
        <w:spacing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2F75B5"/>
          <w:sz w:val="21"/>
        </w:rPr>
        <w:t xml:space="preserve">3. </w:t>
      </w:r>
      <w:r>
        <w:rPr>
          <w:rFonts w:ascii="Noto Sans CJK SC" w:hAnsi="Noto Sans CJK SC" w:eastAsia="Noto Sans CJK SC"/>
          <w:sz w:val="21"/>
        </w:rPr>
        <w:t>归一化：同义词、简称、重复概念和跨文件表述合并，保留候选到标准节点的映射。</w:t>
      </w:r>
    </w:p>
    <w:p>
      <w:pPr>
        <w:spacing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2F75B5"/>
          <w:sz w:val="21"/>
        </w:rPr>
        <w:t xml:space="preserve">4. </w:t>
      </w:r>
      <w:r>
        <w:rPr>
          <w:rFonts w:ascii="Noto Sans CJK SC" w:hAnsi="Noto Sans CJK SC" w:eastAsia="Noto Sans CJK SC"/>
          <w:sz w:val="21"/>
        </w:rPr>
        <w:t>关系推导：区分“文档明确关系”和“模型推断关系”，推断关系必须有置信度和人工审核标记。</w:t>
      </w:r>
    </w:p>
    <w:p>
      <w:pPr>
        <w:spacing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2F75B5"/>
          <w:sz w:val="21"/>
        </w:rPr>
        <w:t xml:space="preserve">5. </w:t>
      </w:r>
      <w:r>
        <w:rPr>
          <w:rFonts w:ascii="Noto Sans CJK SC" w:hAnsi="Noto Sans CJK SC" w:eastAsia="Noto Sans CJK SC"/>
          <w:sz w:val="21"/>
        </w:rPr>
        <w:t>属性标注：Bloom、难度、重要度等不能只做一次批量Prompt，应结合课程层级和目标约束。</w:t>
      </w:r>
    </w:p>
    <w:p>
      <w:pPr>
        <w:spacing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2F75B5"/>
          <w:sz w:val="21"/>
        </w:rPr>
        <w:t xml:space="preserve">6. </w:t>
      </w:r>
      <w:r>
        <w:rPr>
          <w:rFonts w:ascii="Noto Sans CJK SC" w:hAnsi="Noto Sans CJK SC" w:eastAsia="Noto Sans CJK SC"/>
          <w:sz w:val="21"/>
        </w:rPr>
        <w:t>证据绑定：每个正式节点和关键关系至少绑定一个来源片段；无证据节点进入待处理队列。</w:t>
      </w:r>
    </w:p>
    <w:p>
      <w:pPr>
        <w:spacing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2F75B5"/>
          <w:sz w:val="21"/>
        </w:rPr>
        <w:t xml:space="preserve">7. </w:t>
      </w:r>
      <w:r>
        <w:rPr>
          <w:rFonts w:ascii="Noto Sans CJK SC" w:hAnsi="Noto Sans CJK SC" w:eastAsia="Noto Sans CJK SC"/>
          <w:sz w:val="21"/>
        </w:rPr>
        <w:t>质量与发布：通过覆盖、重复、孤立、环路、证据和目标覆盖门禁后，教师发布为正式版本。</w:t>
      </w: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5.3 后端重构建议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2835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当前实现</w:t>
            </w:r>
          </w:p>
        </w:tc>
        <w:tc>
          <w:tcPr>
            <w:tcW w:type="dxa" w:w="340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目标实现</w:t>
            </w:r>
          </w:p>
        </w:tc>
        <w:tc>
          <w:tcPr>
            <w:tcW w:type="dxa" w:w="340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改造动作</w:t>
            </w:r>
          </w:p>
        </w:tc>
      </w:tr>
      <w:tr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GraphJobScheduler集中处理全部阶段</w:t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GraphGenerationWorkflow + 独立Step Handler</w:t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拆分Outline、Extract、Normalize、Relation、Label、Evidence、Quality、Publish</w:t>
            </w:r>
          </w:p>
        </w:tc>
      </w:tr>
      <w:tr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定时轮询数据库任务</w:t>
            </w:r>
          </w:p>
        </w:tc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可靠任务队列/状态机，保留数据库状态</w:t>
            </w:r>
          </w:p>
        </w:tc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可先用Redis队列或DB outbox，后续再升级</w:t>
            </w:r>
          </w:p>
        </w:tc>
      </w:tr>
      <w:tr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Prompts和模型可由请求覆盖</w:t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Skill版本与管理员策略控制</w:t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普通教师不直接传系统Prompt和模型名</w:t>
            </w:r>
          </w:p>
        </w:tc>
      </w:tr>
      <w:tr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mindmapJson/nodeGraphJson大对象为主</w:t>
            </w:r>
          </w:p>
        </w:tc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标准节点/边表为主，视图JSON为投影</w:t>
            </w:r>
          </w:p>
        </w:tc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便于Patch、查询、版本和绑定</w:t>
            </w:r>
          </w:p>
        </w:tc>
      </w:tr>
      <w:tr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质量结果只在后端计算</w:t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质量Issue表 + 发布门禁</w:t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前端展示问题、定位节点并闭环处理</w:t>
            </w:r>
          </w:p>
        </w:tc>
      </w:tr>
      <w:tr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图谱生成与Graphiti混合</w:t>
            </w:r>
          </w:p>
        </w:tc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官方图谱Workflow与Graphiti Memory分离</w:t>
            </w:r>
          </w:p>
        </w:tc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通过Adapter共享检索，不共享主数据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5.4 图谱教师审校界面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</w:trPr>
        <w:tc>
          <w:tcPr>
            <w:tcW w:type="dxa" w:w="2551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区域</w:t>
            </w:r>
          </w:p>
        </w:tc>
        <w:tc>
          <w:tcPr>
            <w:tcW w:type="dxa" w:w="7087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建议功能</w:t>
            </w:r>
          </w:p>
        </w:tc>
      </w:tr>
      <w:tr>
        <w:tc>
          <w:tcPr>
            <w:tcW w:type="dxa" w:w="25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左侧资源与版本</w:t>
            </w:r>
          </w:p>
        </w:tc>
        <w:tc>
          <w:tcPr>
            <w:tcW w:type="dxa" w:w="708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生成范围、解析状态、当前/基础/正式版本、变更摘要</w:t>
            </w:r>
          </w:p>
        </w:tc>
      </w:tr>
      <w:tr>
        <w:tc>
          <w:tcPr>
            <w:tcW w:type="dxa" w:w="255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中央图谱画布</w:t>
            </w:r>
          </w:p>
        </w:tc>
        <w:tc>
          <w:tcPr>
            <w:tcW w:type="dxa" w:w="708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树/网络切换、过滤关系、置信度着色、差异显示、批量选择</w:t>
            </w:r>
          </w:p>
        </w:tc>
      </w:tr>
      <w:tr>
        <w:tc>
          <w:tcPr>
            <w:tcW w:type="dxa" w:w="25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右侧节点详情</w:t>
            </w:r>
          </w:p>
        </w:tc>
        <w:tc>
          <w:tcPr>
            <w:tcW w:type="dxa" w:w="708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定义、别名、属性、目标绑定、资源证据、AI建议、修改历史</w:t>
            </w:r>
          </w:p>
        </w:tc>
      </w:tr>
      <w:tr>
        <w:tc>
          <w:tcPr>
            <w:tcW w:type="dxa" w:w="255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底部任务时间线</w:t>
            </w:r>
          </w:p>
        </w:tc>
        <w:tc>
          <w:tcPr>
            <w:tcW w:type="dxa" w:w="708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每个生成步骤真实状态、耗时、失败原因、重试和日志摘要</w:t>
            </w:r>
          </w:p>
        </w:tc>
      </w:tr>
      <w:tr>
        <w:tc>
          <w:tcPr>
            <w:tcW w:type="dxa" w:w="25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待处理队列</w:t>
            </w:r>
          </w:p>
        </w:tc>
        <w:tc>
          <w:tcPr>
            <w:tcW w:type="dxa" w:w="708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无证据、低置信度、重复、孤立、前置环路、目标未覆盖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5.5 质量门禁建议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2835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835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首期建议门槛</w:t>
            </w:r>
          </w:p>
        </w:tc>
        <w:tc>
          <w:tcPr>
            <w:tcW w:type="dxa" w:w="3969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未达标处理</w:t>
            </w:r>
          </w:p>
        </w:tc>
      </w:tr>
      <w:tr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节点证据覆盖率</w:t>
            </w:r>
          </w:p>
        </w:tc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≥90%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禁止发布；进入补证据队列</w:t>
            </w:r>
          </w:p>
        </w:tc>
      </w:tr>
      <w:tr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关键关系证据覆盖率</w:t>
            </w:r>
          </w:p>
        </w:tc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≥80%</w:t>
            </w:r>
          </w:p>
        </w:tc>
        <w:tc>
          <w:tcPr>
            <w:tcW w:type="dxa" w:w="3969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推断关系需教师确认</w:t>
            </w:r>
          </w:p>
        </w:tc>
      </w:tr>
      <w:tr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重复节点率</w:t>
            </w:r>
          </w:p>
        </w:tc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≤5%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执行归一化/人工合并</w:t>
            </w:r>
          </w:p>
        </w:tc>
      </w:tr>
      <w:tr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孤立节点率</w:t>
            </w:r>
          </w:p>
        </w:tc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≤5%</w:t>
            </w:r>
          </w:p>
        </w:tc>
        <w:tc>
          <w:tcPr>
            <w:tcW w:type="dxa" w:w="3969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补关系或标记为独立拓展</w:t>
            </w:r>
          </w:p>
        </w:tc>
      </w:tr>
      <w:tr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前置关系环路</w:t>
            </w:r>
          </w:p>
        </w:tc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0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必须人工修复</w:t>
            </w:r>
          </w:p>
        </w:tc>
      </w:tr>
      <w:tr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课程目标覆盖</w:t>
            </w:r>
          </w:p>
        </w:tc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每个CO至少关联1组知识点与评价证据</w:t>
            </w:r>
          </w:p>
        </w:tc>
        <w:tc>
          <w:tcPr>
            <w:tcW w:type="dxa" w:w="3969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禁止进入课程发布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80" w:after="80"/>
      </w:pPr>
      <w:r>
        <w:rPr>
          <w:rFonts w:ascii="Noto Sans CJK SC" w:hAnsi="Noto Sans CJK SC" w:eastAsia="Noto Sans CJK SC"/>
          <w:b/>
          <w:color w:val="2F75B5"/>
          <w:sz w:val="26"/>
        </w:rPr>
        <w:t>第6章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1F4E78"/>
          <w:sz w:val="46"/>
        </w:rPr>
        <w:t>统一AI底层与教学内容生成</w:t>
      </w:r>
    </w:p>
    <w:p>
      <w:pPr>
        <w:spacing w:after="280"/>
      </w:pPr>
      <w:r>
        <w:rPr>
          <w:rFonts w:ascii="Noto Sans CJK SC" w:hAnsi="Noto Sans CJK SC" w:eastAsia="Noto Sans CJK SC"/>
          <w:color w:val="5B6573"/>
          <w:sz w:val="21"/>
        </w:rPr>
        <w:t>把模型能力收敛为平台服务，把生成结果沉淀为可编辑业务资产。</w:t>
      </w:r>
    </w:p>
    <w:p>
      <w:pPr>
        <w:spacing w:after="240"/>
        <w:pBdr>
          <w:bottom w:val="single" w:sz="10" w:space="1" w:color="2F75B5"/>
        </w:pBdr>
      </w:pP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6.1 Yuanzhi AI Runtime模块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209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4139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340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首期实现</w:t>
            </w:r>
          </w:p>
        </w:tc>
      </w:tr>
      <w:tr>
        <w:tc>
          <w:tcPr>
            <w:tcW w:type="dxa" w:w="209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Model Gateway</w:t>
            </w:r>
          </w:p>
        </w:tc>
        <w:tc>
          <w:tcPr>
            <w:tcW w:type="dxa" w:w="413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多模型适配、路由、合规、成本、熔断、重试</w:t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统一OpenAI-compatible接口和模型策略</w:t>
            </w:r>
          </w:p>
        </w:tc>
      </w:tr>
      <w:tr>
        <w:tc>
          <w:tcPr>
            <w:tcW w:type="dxa" w:w="209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Context Engine</w:t>
            </w:r>
          </w:p>
        </w:tc>
        <w:tc>
          <w:tcPr>
            <w:tcW w:type="dxa" w:w="4139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课程、用户、页面、资源、官方图谱、会话上下文装配</w:t>
            </w:r>
          </w:p>
        </w:tc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Context Pack + token预算 + 引用清单</w:t>
            </w:r>
          </w:p>
        </w:tc>
      </w:tr>
      <w:tr>
        <w:tc>
          <w:tcPr>
            <w:tcW w:type="dxa" w:w="209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Skill Registry</w:t>
            </w:r>
          </w:p>
        </w:tc>
        <w:tc>
          <w:tcPr>
            <w:tcW w:type="dxa" w:w="413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版本化输入/输出/Prompt/工具/模型/评测</w:t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先迁移摘要、大纲、知识点、图谱、课程蓝图、出题</w:t>
            </w:r>
          </w:p>
        </w:tc>
      </w:tr>
      <w:tr>
        <w:tc>
          <w:tcPr>
            <w:tcW w:type="dxa" w:w="209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Agent Harness</w:t>
            </w:r>
          </w:p>
        </w:tc>
        <w:tc>
          <w:tcPr>
            <w:tcW w:type="dxa" w:w="4139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多轮Agent、工具和状态</w:t>
            </w:r>
          </w:p>
        </w:tc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pi-agent-core，教师助手与编辑助手</w:t>
            </w:r>
          </w:p>
        </w:tc>
      </w:tr>
      <w:tr>
        <w:tc>
          <w:tcPr>
            <w:tcW w:type="dxa" w:w="209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AI Run Engine</w:t>
            </w:r>
          </w:p>
        </w:tc>
        <w:tc>
          <w:tcPr>
            <w:tcW w:type="dxa" w:w="413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异步任务、步骤、SSE事件、重试、取消</w:t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统一run/step/event/artifact模型</w:t>
            </w:r>
          </w:p>
        </w:tc>
      </w:tr>
      <w:tr>
        <w:tc>
          <w:tcPr>
            <w:tcW w:type="dxa" w:w="209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Artifact Registry</w:t>
            </w:r>
          </w:p>
        </w:tc>
        <w:tc>
          <w:tcPr>
            <w:tcW w:type="dxa" w:w="4139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保存生成的蓝图、图谱Patch、课件、题目和报告</w:t>
            </w:r>
          </w:p>
        </w:tc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每个产物带来源、版本和生成Run</w:t>
            </w:r>
          </w:p>
        </w:tc>
      </w:tr>
      <w:tr>
        <w:tc>
          <w:tcPr>
            <w:tcW w:type="dxa" w:w="209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Eval/Observability</w:t>
            </w:r>
          </w:p>
        </w:tc>
        <w:tc>
          <w:tcPr>
            <w:tcW w:type="dxa" w:w="413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质量、延迟、token、成本、错误与人工采纳率</w:t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先做日志、指标和离线样例集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6.2 Skill标准</w:t>
      </w: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所有AI能力必须以Skill形式注册，禁止在Vue页面、Java Service或Next.js Route内临时拼Prompt。建议Skill定义至少包含：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skillId、version、owner、状态和适用角色；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Input Schema、Output Schema及示例；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Prompt模板、模型策略、温度与最大输出；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Context Policy：允许读取哪些课程对象和资源；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Tool Policy：允许调用哪些工具，是否需要确认；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Retry/Repair：结构校验失败、引用缺失、低置信度的处理；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Evaluation：离线样例、规则指标和人工采纳指标。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2835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建议Skill</w:t>
            </w:r>
          </w:p>
        </w:tc>
        <w:tc>
          <w:tcPr>
            <w:tcW w:type="dxa" w:w="340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340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输出资产</w:t>
            </w:r>
          </w:p>
        </w:tc>
      </w:tr>
      <w:tr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document.parse-and-profile</w:t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资源版本</w:t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Document AST、解析质量报告</w:t>
            </w:r>
          </w:p>
        </w:tc>
      </w:tr>
      <w:tr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knowledge.extract-candidates</w:t>
            </w:r>
          </w:p>
        </w:tc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资源范围、课程背景</w:t>
            </w:r>
          </w:p>
        </w:tc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候选节点/边/证据</w:t>
            </w:r>
          </w:p>
        </w:tc>
      </w:tr>
      <w:tr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knowledge.normalize-and-bind</w:t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候选图、课程目标</w:t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标准图谱Patch、问题清单</w:t>
            </w:r>
          </w:p>
        </w:tc>
      </w:tr>
      <w:tr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course.generate-blueprint</w:t>
            </w:r>
          </w:p>
        </w:tc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正式图谱、课程标准、学时</w:t>
            </w:r>
          </w:p>
        </w:tc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Course Blueprint</w:t>
            </w:r>
          </w:p>
        </w:tc>
      </w:tr>
      <w:tr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lesson.generate-blueprint</w:t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课时目标、知识点、资源</w:t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Lesson Blueprint</w:t>
            </w:r>
          </w:p>
        </w:tc>
      </w:tr>
      <w:tr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experience.generate-maic</w:t>
            </w:r>
          </w:p>
        </w:tc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Lesson Blueprint、主题与资源</w:t>
            </w:r>
          </w:p>
        </w:tc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OpenMAIC Experience Document</w:t>
            </w:r>
          </w:p>
        </w:tc>
      </w:tr>
      <w:tr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assessment.generate</w:t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知识点、CO、难度、题型</w:t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题目、答案、评分规则、证据绑定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6.3 Course Blueprint到OpenMAIC的中间模型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EEF5FB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10" w:color="1F4E78"/>
              <w:left w:val="single" w:sz="10" w:color="1F4E78"/>
              <w:bottom w:val="single" w:sz="4" w:color="D4E1EC"/>
              <w:right w:val="single" w:sz="4" w:color="D4E1EC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8"/>
                <w:sz w:val="22"/>
              </w:rPr>
              <w:t>不能直接用OpenMAIC文档替代课程主数据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元知必须拥有课程目标、知识点、课时、评价和资源绑定的业务模型；OpenMAIC文档只负责“如何呈现和互动”。这保证未来升级或更换体验引擎时，不会丢失课程治理与OBE资产。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1701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3969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元知主对象</w:t>
            </w:r>
          </w:p>
        </w:tc>
        <w:tc>
          <w:tcPr>
            <w:tcW w:type="dxa" w:w="3969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OpenMAIC对象/作用</w:t>
            </w:r>
          </w:p>
        </w:tc>
      </w:tr>
      <w:t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课程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Course Version + Course Blueprint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Stage集合</w:t>
            </w:r>
          </w:p>
        </w:tc>
      </w:tr>
      <w:tr>
        <w:tc>
          <w:tcPr>
            <w:tcW w:type="dxa" w:w="170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课时</w:t>
            </w:r>
          </w:p>
        </w:tc>
        <w:tc>
          <w:tcPr>
            <w:tcW w:type="dxa" w:w="3969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Lesson Blueprint</w:t>
            </w:r>
          </w:p>
        </w:tc>
        <w:tc>
          <w:tcPr>
            <w:tcW w:type="dxa" w:w="3969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一个或多个Stage/Scene组</w:t>
            </w:r>
          </w:p>
        </w:tc>
      </w:tr>
      <w:t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教学内容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教学活动与资源绑定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Slide/Interactive/PBL Scene</w:t>
            </w:r>
          </w:p>
        </w:tc>
      </w:tr>
      <w:tr>
        <w:tc>
          <w:tcPr>
            <w:tcW w:type="dxa" w:w="170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评价</w:t>
            </w:r>
          </w:p>
        </w:tc>
        <w:tc>
          <w:tcPr>
            <w:tcW w:type="dxa" w:w="3969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题目、Rubric、CO/指标绑定</w:t>
            </w:r>
          </w:p>
        </w:tc>
        <w:tc>
          <w:tcPr>
            <w:tcW w:type="dxa" w:w="3969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Quiz/PBL Scene及运行记录</w:t>
            </w:r>
          </w:p>
        </w:tc>
      </w:tr>
      <w:tr>
        <w:tc>
          <w:tcPr>
            <w:tcW w:type="dxa" w:w="170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课堂行为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发布、班级、学生、权限</w:t>
            </w:r>
          </w:p>
        </w:tc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Playback/Action Runtime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6.4 AI Run与事件协议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2835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事件</w:t>
            </w:r>
          </w:p>
        </w:tc>
        <w:tc>
          <w:tcPr>
            <w:tcW w:type="dxa" w:w="340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前端用途</w:t>
            </w:r>
          </w:p>
        </w:tc>
        <w:tc>
          <w:tcPr>
            <w:tcW w:type="dxa" w:w="340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关键字段</w:t>
            </w:r>
          </w:p>
        </w:tc>
      </w:tr>
      <w:tr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run.created / started</w:t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创建任务卡</w:t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runId、skillId、courseVersionId</w:t>
            </w:r>
          </w:p>
        </w:tc>
      </w:tr>
      <w:tr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step.started / progress</w:t>
            </w:r>
          </w:p>
        </w:tc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真实进度条</w:t>
            </w:r>
          </w:p>
        </w:tc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stepId、progress、message</w:t>
            </w:r>
          </w:p>
        </w:tc>
      </w:tr>
      <w:tr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tool.started / completed</w:t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显示检索、解析、图谱工具</w:t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toolName、inputSummary、outputSummary</w:t>
            </w:r>
          </w:p>
        </w:tc>
      </w:tr>
      <w:tr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artifact.created</w:t>
            </w:r>
          </w:p>
        </w:tc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打开预览</w:t>
            </w:r>
          </w:p>
        </w:tc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artifactId、type、version</w:t>
            </w:r>
          </w:p>
        </w:tc>
      </w:tr>
      <w:tr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review.required</w:t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教师待处理</w:t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issueType、targetId、recommendation</w:t>
            </w:r>
          </w:p>
        </w:tc>
      </w:tr>
      <w:tr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run.completed / failed</w:t>
            </w:r>
          </w:p>
        </w:tc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完成或重试</w:t>
            </w:r>
          </w:p>
        </w:tc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usage、quality、errorCode、retryable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6.5 立即迁移和下线的旧路径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</w:trPr>
        <w:tc>
          <w:tcPr>
            <w:tcW w:type="dxa" w:w="4535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现有位置</w:t>
            </w:r>
          </w:p>
        </w:tc>
        <w:tc>
          <w:tcPr>
            <w:tcW w:type="dxa" w:w="510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整改动作</w:t>
            </w:r>
          </w:p>
        </w:tc>
      </w:tr>
      <w:tr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Java QwenDocChatService / OpenAIEmbeddingProvider</w:t>
            </w:r>
          </w:p>
        </w:tc>
        <w:tc>
          <w:tcPr>
            <w:tcW w:type="dxa" w:w="51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替换为AiRuntimeClient；Java不直接持有模型API Key</w:t>
            </w:r>
          </w:p>
        </w:tc>
      </w:tr>
      <w:tr>
        <w:tc>
          <w:tcPr>
            <w:tcW w:type="dxa" w:w="45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ai-gateway /api/ai/analyze、/stream中的Prompt映射</w:t>
            </w:r>
          </w:p>
        </w:tc>
        <w:tc>
          <w:tcPr>
            <w:tcW w:type="dxa" w:w="51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迁移为Skill Definition和Run API</w:t>
            </w:r>
          </w:p>
        </w:tc>
      </w:tr>
      <w:tr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NewCourseSpace.handleToolSelect中的Prompt文本</w:t>
            </w:r>
          </w:p>
        </w:tc>
        <w:tc>
          <w:tcPr>
            <w:tcW w:type="dxa" w:w="51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删除Prompt，只传skillId和业务上下文</w:t>
            </w:r>
          </w:p>
        </w:tc>
      </w:tr>
      <w:tr>
        <w:tc>
          <w:tcPr>
            <w:tcW w:type="dxa" w:w="45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ChatBox模拟流式回复与localStorage历史</w:t>
            </w:r>
          </w:p>
        </w:tc>
        <w:tc>
          <w:tcPr>
            <w:tcW w:type="dxa" w:w="51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接入服务端Session与Run Event</w:t>
            </w:r>
          </w:p>
        </w:tc>
      </w:tr>
      <w:tr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GenerationWizard的setTimeout进度</w:t>
            </w:r>
          </w:p>
        </w:tc>
        <w:tc>
          <w:tcPr>
            <w:tcW w:type="dxa" w:w="51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改为AI Run步骤事件</w:t>
            </w:r>
          </w:p>
        </w:tc>
      </w:tr>
      <w:tr>
        <w:tc>
          <w:tcPr>
            <w:tcW w:type="dxa" w:w="45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Graphiti通用浏览器代理</w:t>
            </w:r>
          </w:p>
        </w:tc>
        <w:tc>
          <w:tcPr>
            <w:tcW w:type="dxa" w:w="51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仅保留内网Adapter接口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80" w:after="80"/>
      </w:pPr>
      <w:r>
        <w:rPr>
          <w:rFonts w:ascii="Noto Sans CJK SC" w:hAnsi="Noto Sans CJK SC" w:eastAsia="Noto Sans CJK SC"/>
          <w:b/>
          <w:color w:val="2F75B5"/>
          <w:sz w:val="26"/>
        </w:rPr>
        <w:t>第7章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1F4E78"/>
          <w:sz w:val="46"/>
        </w:rPr>
        <w:t>代码重构与工程治理</w:t>
      </w:r>
    </w:p>
    <w:p>
      <w:pPr>
        <w:spacing w:after="280"/>
      </w:pPr>
      <w:r>
        <w:rPr>
          <w:rFonts w:ascii="Noto Sans CJK SC" w:hAnsi="Noto Sans CJK SC" w:eastAsia="Noto Sans CJK SC"/>
          <w:color w:val="5B6573"/>
          <w:sz w:val="21"/>
        </w:rPr>
        <w:t>为人和AI编码工具建立可理解、可验证、可并行的代码边界。</w:t>
      </w:r>
    </w:p>
    <w:p>
      <w:pPr>
        <w:spacing w:after="240"/>
        <w:pBdr>
          <w:bottom w:val="single" w:sz="10" w:space="1" w:color="2F75B5"/>
        </w:pBdr>
      </w:pP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7.1 建议代码组织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</w:trPr>
        <w:tc>
          <w:tcPr>
            <w:tcW w:type="dxa" w:w="340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目标目录/服务</w:t>
            </w:r>
          </w:p>
        </w:tc>
        <w:tc>
          <w:tcPr>
            <w:tcW w:type="dxa" w:w="6236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apps/teacher-web</w:t>
            </w:r>
          </w:p>
        </w:tc>
        <w:tc>
          <w:tcPr>
            <w:tcW w:type="dxa" w:w="62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Vue教师端；只消费业务和AI契约</w:t>
            </w:r>
          </w:p>
        </w:tc>
      </w:tr>
      <w:tr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apps/openmaic-studio</w:t>
            </w:r>
          </w:p>
        </w:tc>
        <w:tc>
          <w:tcPr>
            <w:tcW w:type="dxa" w:w="6236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OpenMAIC Fork；编辑与播放体验</w:t>
            </w:r>
          </w:p>
        </w:tc>
      </w:tr>
      <w:tr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services/core-api</w:t>
            </w:r>
          </w:p>
        </w:tc>
        <w:tc>
          <w:tcPr>
            <w:tcW w:type="dxa" w:w="62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现有Spring Boot业务主系统</w:t>
            </w:r>
          </w:p>
        </w:tc>
      </w:tr>
      <w:tr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services/ai-runtime</w:t>
            </w:r>
          </w:p>
        </w:tc>
        <w:tc>
          <w:tcPr>
            <w:tcW w:type="dxa" w:w="6236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模型、Skill、Agent、Run、事件和评测</w:t>
            </w:r>
          </w:p>
        </w:tc>
      </w:tr>
      <w:tr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services/graph-service</w:t>
            </w:r>
          </w:p>
        </w:tc>
        <w:tc>
          <w:tcPr>
            <w:tcW w:type="dxa" w:w="62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官方课程图谱Workflow和查询，可先仍在Java内拆模块</w:t>
            </w:r>
          </w:p>
        </w:tc>
      </w:tr>
      <w:tr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services/context-graph</w:t>
            </w:r>
          </w:p>
        </w:tc>
        <w:tc>
          <w:tcPr>
            <w:tcW w:type="dxa" w:w="6236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独立Graphiti部署与Adapter</w:t>
            </w:r>
          </w:p>
        </w:tc>
      </w:tr>
      <w:tr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packages/contracts</w:t>
            </w:r>
          </w:p>
        </w:tc>
        <w:tc>
          <w:tcPr>
            <w:tcW w:type="dxa" w:w="62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OpenAPI、JSON Schema、事件、共享TypeScript/Java DTO生成</w:t>
            </w:r>
          </w:p>
        </w:tc>
      </w:tr>
      <w:tr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packages/ui</w:t>
            </w:r>
          </w:p>
        </w:tc>
        <w:tc>
          <w:tcPr>
            <w:tcW w:type="dxa" w:w="6236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教师端统一AI Run、证据、版本和质量组件</w:t>
            </w:r>
          </w:p>
        </w:tc>
      </w:tr>
      <w:tr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openspec/changes</w:t>
            </w:r>
          </w:p>
        </w:tc>
        <w:tc>
          <w:tcPr>
            <w:tcW w:type="dxa" w:w="62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每一项整改的规格、设计、任务和验收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7.2 当前大文件拆分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2551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40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当前问题</w:t>
            </w:r>
          </w:p>
        </w:tc>
        <w:tc>
          <w:tcPr>
            <w:tcW w:type="dxa" w:w="3685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建议拆分</w:t>
            </w:r>
          </w:p>
        </w:tc>
      </w:tr>
      <w:tr>
        <w:tc>
          <w:tcPr>
            <w:tcW w:type="dxa" w:w="25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NewCourseSpace.vue</w:t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约1869行，页面、业务状态和API耦合</w:t>
            </w:r>
          </w:p>
        </w:tc>
        <w:tc>
          <w:tcPr>
            <w:tcW w:type="dxa" w:w="36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CourseSpaceShell、ResourceWorkspace、BlueprintWorkspace、GraphWorkspace、CourseAssistant；领域Store和API独立</w:t>
            </w:r>
          </w:p>
        </w:tc>
      </w:tr>
      <w:tr>
        <w:tc>
          <w:tcPr>
            <w:tcW w:type="dxa" w:w="255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TeacherLayout.vue</w:t>
            </w:r>
          </w:p>
        </w:tc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顶部空间、标签、路由状态和多类业务入口集中</w:t>
            </w:r>
          </w:p>
        </w:tc>
        <w:tc>
          <w:tcPr>
            <w:tcW w:type="dxa" w:w="368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AppShell、WorkspaceSwitcher、TabManager、DockAdapter</w:t>
            </w:r>
          </w:p>
        </w:tc>
      </w:tr>
      <w:tr>
        <w:tc>
          <w:tcPr>
            <w:tcW w:type="dxa" w:w="25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GraphJobScheduler.java</w:t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约880行，工作流全部阶段集中</w:t>
            </w:r>
          </w:p>
        </w:tc>
        <w:tc>
          <w:tcPr>
            <w:tcW w:type="dxa" w:w="36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WorkflowCoordinator + StepHandlers + Repository + EventPublisher</w:t>
            </w:r>
          </w:p>
        </w:tc>
      </w:tr>
      <w:tr>
        <w:tc>
          <w:tcPr>
            <w:tcW w:type="dxa" w:w="255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ConstructionDashboardView.vue</w:t>
            </w:r>
          </w:p>
        </w:tc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超大单文件，AI编码修改风险高</w:t>
            </w:r>
          </w:p>
        </w:tc>
        <w:tc>
          <w:tcPr>
            <w:tcW w:type="dxa" w:w="368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按业务卡片/任务/数据区拆模块，非首期但纳入质量债务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7.3 工程硬约束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密钥只能来自环境变量或Secret Manager，Git提交和日志不得出现凭证。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业务模块禁止直接调用模型供应商；只允许调用AI Runtime。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前端禁止直连Graphiti、模型或对象存储内部接口。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生产路径禁止Mock和setTimeout模拟任务；演示数据必须通过明确的demo profile启用。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新增AI输出必须有Schema和契约测试；新增数据库变更必须有Flyway迁移和回滚/兼容说明。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单个Vue/Java/TS核心文件建议控制在500行以内，超出需在PR说明原因。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所有AI写操作默认生成Patch/草稿，必须经过权限与确认门禁。</w:t>
      </w: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7.4 测试体系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198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测试层级</w:t>
            </w:r>
          </w:p>
        </w:tc>
        <w:tc>
          <w:tcPr>
            <w:tcW w:type="dxa" w:w="4535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首期覆盖内容</w:t>
            </w:r>
          </w:p>
        </w:tc>
        <w:tc>
          <w:tcPr>
            <w:tcW w:type="dxa" w:w="311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门禁</w:t>
            </w:r>
          </w:p>
        </w:tc>
      </w:tr>
      <w:tr>
        <w:tc>
          <w:tcPr>
            <w:tcW w:type="dxa" w:w="19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单元测试</w:t>
            </w:r>
          </w:p>
        </w:tc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Skill Schema、图谱归一化、质量规则、权限和状态机</w:t>
            </w:r>
          </w:p>
        </w:tc>
        <w:tc>
          <w:tcPr>
            <w:tcW w:type="dxa" w:w="311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核心模块覆盖率目标≥70%</w:t>
            </w:r>
          </w:p>
        </w:tc>
      </w:tr>
      <w:tr>
        <w:tc>
          <w:tcPr>
            <w:tcW w:type="dxa" w:w="198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契约测试</w:t>
            </w:r>
          </w:p>
        </w:tc>
        <w:tc>
          <w:tcPr>
            <w:tcW w:type="dxa" w:w="45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Vue↔Core API、Core API↔AI Runtime、AI Runtime↔OpenMAIC</w:t>
            </w:r>
          </w:p>
        </w:tc>
        <w:tc>
          <w:tcPr>
            <w:tcW w:type="dxa" w:w="311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OpenAPI/JSON Schema自动验证</w:t>
            </w:r>
          </w:p>
        </w:tc>
      </w:tr>
      <w:tr>
        <w:tc>
          <w:tcPr>
            <w:tcW w:type="dxa" w:w="19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工作流集成测试</w:t>
            </w:r>
          </w:p>
        </w:tc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资源→图谱→蓝图→资产→发布</w:t>
            </w:r>
          </w:p>
        </w:tc>
        <w:tc>
          <w:tcPr>
            <w:tcW w:type="dxa" w:w="311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至少3套固定课程样例</w:t>
            </w:r>
          </w:p>
        </w:tc>
      </w:tr>
      <w:tr>
        <w:tc>
          <w:tcPr>
            <w:tcW w:type="dxa" w:w="198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AI评测</w:t>
            </w:r>
          </w:p>
        </w:tc>
        <w:tc>
          <w:tcPr>
            <w:tcW w:type="dxa" w:w="45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知识点正确性、引用覆盖、课程蓝图完整性、题目质量</w:t>
            </w:r>
          </w:p>
        </w:tc>
        <w:tc>
          <w:tcPr>
            <w:tcW w:type="dxa" w:w="311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基线集回归，质量下降阻止合并</w:t>
            </w:r>
          </w:p>
        </w:tc>
      </w:tr>
      <w:tr>
        <w:tc>
          <w:tcPr>
            <w:tcW w:type="dxa" w:w="19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E2E</w:t>
            </w:r>
          </w:p>
        </w:tc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教师完整主路径、失败重试和版本回退</w:t>
            </w:r>
          </w:p>
        </w:tc>
        <w:tc>
          <w:tcPr>
            <w:tcW w:type="dxa" w:w="311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Playwright自动化</w:t>
            </w:r>
          </w:p>
        </w:tc>
      </w:tr>
      <w:tr>
        <w:tc>
          <w:tcPr>
            <w:tcW w:type="dxa" w:w="198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安全测试</w:t>
            </w:r>
          </w:p>
        </w:tc>
        <w:tc>
          <w:tcPr>
            <w:tcW w:type="dxa" w:w="45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越权、Prompt注入、代理滥用、密钥泄露</w:t>
            </w:r>
          </w:p>
        </w:tc>
        <w:tc>
          <w:tcPr>
            <w:tcW w:type="dxa" w:w="311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P0/P1问题不得上线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80" w:after="80"/>
      </w:pPr>
      <w:r>
        <w:rPr>
          <w:rFonts w:ascii="Noto Sans CJK SC" w:hAnsi="Noto Sans CJK SC" w:eastAsia="Noto Sans CJK SC"/>
          <w:b/>
          <w:color w:val="2F75B5"/>
          <w:sz w:val="26"/>
        </w:rPr>
        <w:t>第8章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1F4E78"/>
          <w:sz w:val="46"/>
        </w:rPr>
        <w:t>建设计划与Codex/Claude Code实施方式</w:t>
      </w:r>
    </w:p>
    <w:p>
      <w:pPr>
        <w:spacing w:after="280"/>
      </w:pPr>
      <w:r>
        <w:rPr>
          <w:rFonts w:ascii="Noto Sans CJK SC" w:hAnsi="Noto Sans CJK SC" w:eastAsia="Noto Sans CJK SC"/>
          <w:color w:val="5B6573"/>
          <w:sz w:val="21"/>
        </w:rPr>
        <w:t>以18周、5条并行工作流为参考；实际工期可按团队人数压缩或展开。</w:t>
      </w:r>
    </w:p>
    <w:p>
      <w:pPr>
        <w:spacing w:after="240"/>
        <w:pBdr>
          <w:bottom w:val="single" w:sz="10" w:space="1" w:color="2F75B5"/>
        </w:pBdr>
      </w:pP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8.1 分阶段建设计划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192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47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周期</w:t>
            </w:r>
          </w:p>
        </w:tc>
        <w:tc>
          <w:tcPr>
            <w:tcW w:type="dxa" w:w="408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重点工作</w:t>
            </w:r>
          </w:p>
        </w:tc>
        <w:tc>
          <w:tcPr>
            <w:tcW w:type="dxa" w:w="294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交付门禁</w:t>
            </w:r>
          </w:p>
        </w:tc>
      </w:tr>
      <w:tr>
        <w:tc>
          <w:tcPr>
            <w:tcW w:type="dxa" w:w="19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阶段0：止血与基线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第1—2周</w:t>
            </w:r>
          </w:p>
        </w:tc>
        <w:tc>
          <w:tcPr>
            <w:tcW w:type="dxa" w:w="408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密钥轮换、配置清理、认证/CORS、构建修复、CI、测试骨架、契约仓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全仓可重复构建；无明文密钥；主分支检查通过</w:t>
            </w:r>
          </w:p>
        </w:tc>
      </w:tr>
      <w:tr>
        <w:tc>
          <w:tcPr>
            <w:tcW w:type="dxa" w:w="192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阶段1：教师资源与AI Run</w:t>
            </w:r>
          </w:p>
        </w:tc>
        <w:tc>
          <w:tcPr>
            <w:tcW w:type="dxa" w:w="147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第3—5周</w:t>
            </w:r>
          </w:p>
        </w:tc>
        <w:tc>
          <w:tcPr>
            <w:tcW w:type="dxa" w:w="408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统一AI Runtime骨架、资源解析状态、服务端会话、Skill迁移、真实任务事件</w:t>
            </w:r>
          </w:p>
        </w:tc>
        <w:tc>
          <w:tcPr>
            <w:tcW w:type="dxa" w:w="294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摘要/大纲/知识点走统一Run；教师端无模拟进度</w:t>
            </w:r>
          </w:p>
        </w:tc>
      </w:tr>
      <w:tr>
        <w:tc>
          <w:tcPr>
            <w:tcW w:type="dxa" w:w="19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阶段2：图谱生成与审校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第6—9周</w:t>
            </w:r>
          </w:p>
        </w:tc>
        <w:tc>
          <w:tcPr>
            <w:tcW w:type="dxa" w:w="408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图谱Workflow拆分、Schema、证据、质量Issue、Patch保存、审校界面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一门样板课程可生成、人工校订、发布和回退</w:t>
            </w:r>
          </w:p>
        </w:tc>
      </w:tr>
      <w:tr>
        <w:tc>
          <w:tcPr>
            <w:tcW w:type="dxa" w:w="192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阶段3：课程蓝图与备课</w:t>
            </w:r>
          </w:p>
        </w:tc>
        <w:tc>
          <w:tcPr>
            <w:tcW w:type="dxa" w:w="147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第10—12周</w:t>
            </w:r>
          </w:p>
        </w:tc>
        <w:tc>
          <w:tcPr>
            <w:tcW w:type="dxa" w:w="408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Course/Lesson Blueprint、目标/知识点/资源/评价绑定、教师备课工作台</w:t>
            </w:r>
          </w:p>
        </w:tc>
        <w:tc>
          <w:tcPr>
            <w:tcW w:type="dxa" w:w="294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教师可从正式图谱生成并编辑完整课程计划</w:t>
            </w:r>
          </w:p>
        </w:tc>
      </w:tr>
      <w:tr>
        <w:tc>
          <w:tcPr>
            <w:tcW w:type="dxa" w:w="19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阶段4：OpenMAIC融合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第13—16周</w:t>
            </w:r>
          </w:p>
        </w:tc>
        <w:tc>
          <w:tcPr>
            <w:tcW w:type="dxa" w:w="408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SSO、DocumentStore、Experience生成、编辑器嵌入、课堂发布与数据回流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至少一课时包含PPT+测验+互动场景，可编辑发布</w:t>
            </w:r>
          </w:p>
        </w:tc>
      </w:tr>
      <w:tr>
        <w:tc>
          <w:tcPr>
            <w:tcW w:type="dxa" w:w="192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阶段5：OBE与试点</w:t>
            </w:r>
          </w:p>
        </w:tc>
        <w:tc>
          <w:tcPr>
            <w:tcW w:type="dxa" w:w="147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第17—18周</w:t>
            </w:r>
          </w:p>
        </w:tc>
        <w:tc>
          <w:tcPr>
            <w:tcW w:type="dxa" w:w="408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Scene/题目证据绑定、达成度回流、试点培训、缺陷修复</w:t>
            </w:r>
          </w:p>
        </w:tc>
        <w:tc>
          <w:tcPr>
            <w:tcW w:type="dxa" w:w="294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完成样板课程端到端验收和试点复盘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8.2 并行工作流与团队建议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226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工作流</w:t>
            </w:r>
          </w:p>
        </w:tc>
        <w:tc>
          <w:tcPr>
            <w:tcW w:type="dxa" w:w="2835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建议角色</w:t>
            </w:r>
          </w:p>
        </w:tc>
        <w:tc>
          <w:tcPr>
            <w:tcW w:type="dxa" w:w="4535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主要责任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A 教师端产品与前端</w:t>
            </w:r>
          </w:p>
        </w:tc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产品经理+2名前端</w:t>
            </w:r>
          </w:p>
        </w:tc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信息架构、资源/图谱/备课工作区、统一AI组件、E2E</w:t>
            </w:r>
          </w:p>
        </w:tc>
      </w:tr>
      <w:tr>
        <w:tc>
          <w:tcPr>
            <w:tcW w:type="dxa" w:w="226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B AI Runtime</w:t>
            </w:r>
          </w:p>
        </w:tc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AI架构/后端+1—2名TS工程师</w:t>
            </w:r>
          </w:p>
        </w:tc>
        <w:tc>
          <w:tcPr>
            <w:tcW w:type="dxa" w:w="45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Model Gateway、Skill、Context、pi Agent、Run/Event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C 图谱与知识工程</w:t>
            </w:r>
          </w:p>
        </w:tc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后端+知识工程师</w:t>
            </w:r>
          </w:p>
        </w:tc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官方图谱Workflow、证据、质量、版本与Graphiti边界</w:t>
            </w:r>
          </w:p>
        </w:tc>
      </w:tr>
      <w:tr>
        <w:tc>
          <w:tcPr>
            <w:tcW w:type="dxa" w:w="226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D OpenMAIC适配</w:t>
            </w:r>
          </w:p>
        </w:tc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1—2名React/全栈</w:t>
            </w:r>
          </w:p>
        </w:tc>
        <w:tc>
          <w:tcPr>
            <w:tcW w:type="dxa" w:w="45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Fork跟踪、SSO、存储、生成适配、编辑器和播放器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E 平台与质量</w:t>
            </w:r>
          </w:p>
        </w:tc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Java/DevOps/QA</w:t>
            </w:r>
          </w:p>
        </w:tc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Core API、权限、安全、CI、测试、可观测和发布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8.3 使用Codex/Claude Code前必须补齐的仓库上下文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根目录AGENTS.md：仓库地图、可修改边界、构建命令、测试命令、安全禁令和提交规则。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根目录CLAUDE.md：与AGENTS.md保持同一约束，补充Claude Code常用工作流。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docs/ARCHITECTURE.md：核心业务、AI Runtime、图谱、OpenMAIC和数据所有权。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packages/contracts：OpenAPI、JSON Schema、事件协议和生成代码，不允许手工复制DTO。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openspec/changes/&lt;编号&gt;：proposal.md、design.md、tasks.md、acceptance.md。</w:t>
      </w:r>
    </w:p>
    <w:p>
      <w:pPr>
        <w:pStyle w:val="ListBullet"/>
        <w:spacing w:after="60" w:line="288" w:lineRule="auto"/>
        <w:ind w:left="340" w:hanging="170"/>
      </w:pPr>
      <w:r>
        <w:rPr>
          <w:rFonts w:ascii="Noto Sans CJK SC" w:hAnsi="Noto Sans CJK SC" w:eastAsia="Noto Sans CJK SC"/>
          <w:sz w:val="21"/>
        </w:rPr>
        <w:t>固定样例数据集：新时代思政课程材料、期望图谱、课程蓝图和教学资产验收样例。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92000" cy="2704926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dev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704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/>
          <w:color w:val="5B6573"/>
          <w:sz w:val="18"/>
        </w:rPr>
        <w:t>图8-1 AI编码工具驱动的标准研发交付流程</w:t>
      </w:r>
    </w:p>
    <w:p>
      <w:r>
        <w:br w:type="page"/>
      </w: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8.4 AI编码任务卡模板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</w:trPr>
        <w:tc>
          <w:tcPr>
            <w:tcW w:type="dxa" w:w="2551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7087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填写要求</w:t>
            </w:r>
          </w:p>
        </w:tc>
      </w:tr>
      <w:tr>
        <w:tc>
          <w:tcPr>
            <w:tcW w:type="dxa" w:w="25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任务编号/标题</w:t>
            </w:r>
          </w:p>
        </w:tc>
        <w:tc>
          <w:tcPr>
            <w:tcW w:type="dxa" w:w="708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例如 YZ-AI-001 建立AI Run API与SSE事件</w:t>
            </w:r>
          </w:p>
        </w:tc>
      </w:tr>
      <w:tr>
        <w:tc>
          <w:tcPr>
            <w:tcW w:type="dxa" w:w="255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业务目标</w:t>
            </w:r>
          </w:p>
        </w:tc>
        <w:tc>
          <w:tcPr>
            <w:tcW w:type="dxa" w:w="708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说明教师完成哪一步，不只写技术动作</w:t>
            </w:r>
          </w:p>
        </w:tc>
      </w:tr>
      <w:tr>
        <w:tc>
          <w:tcPr>
            <w:tcW w:type="dxa" w:w="25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范围</w:t>
            </w:r>
          </w:p>
        </w:tc>
        <w:tc>
          <w:tcPr>
            <w:tcW w:type="dxa" w:w="708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允许修改的目录和文件；依赖的契约</w:t>
            </w:r>
          </w:p>
        </w:tc>
      </w:tr>
      <w:tr>
        <w:tc>
          <w:tcPr>
            <w:tcW w:type="dxa" w:w="255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非范围</w:t>
            </w:r>
          </w:p>
        </w:tc>
        <w:tc>
          <w:tcPr>
            <w:tcW w:type="dxa" w:w="708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明确不能顺手重构的模块</w:t>
            </w:r>
          </w:p>
        </w:tc>
      </w:tr>
      <w:tr>
        <w:tc>
          <w:tcPr>
            <w:tcW w:type="dxa" w:w="25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输入材料</w:t>
            </w:r>
          </w:p>
        </w:tc>
        <w:tc>
          <w:tcPr>
            <w:tcW w:type="dxa" w:w="708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相关设计、API、数据库、样例和现有代码路径</w:t>
            </w:r>
          </w:p>
        </w:tc>
      </w:tr>
      <w:tr>
        <w:tc>
          <w:tcPr>
            <w:tcW w:type="dxa" w:w="255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验收场景</w:t>
            </w:r>
          </w:p>
        </w:tc>
        <w:tc>
          <w:tcPr>
            <w:tcW w:type="dxa" w:w="708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Given/When/Then，包含正常、失败、权限和回退</w:t>
            </w:r>
          </w:p>
        </w:tc>
      </w:tr>
      <w:tr>
        <w:tc>
          <w:tcPr>
            <w:tcW w:type="dxa" w:w="25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必须测试</w:t>
            </w:r>
          </w:p>
        </w:tc>
        <w:tc>
          <w:tcPr>
            <w:tcW w:type="dxa" w:w="708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单测、契约、E2E及运行命令</w:t>
            </w:r>
          </w:p>
        </w:tc>
      </w:tr>
      <w:tr>
        <w:tc>
          <w:tcPr>
            <w:tcW w:type="dxa" w:w="255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架构约束</w:t>
            </w:r>
          </w:p>
        </w:tc>
        <w:tc>
          <w:tcPr>
            <w:tcW w:type="dxa" w:w="7087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不得直连模型、不得提交密钥、不得生产Mock等</w:t>
            </w:r>
          </w:p>
        </w:tc>
      </w:tr>
      <w:tr>
        <w:tc>
          <w:tcPr>
            <w:tcW w:type="dxa" w:w="25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输出</w:t>
            </w:r>
          </w:p>
        </w:tc>
        <w:tc>
          <w:tcPr>
            <w:tcW w:type="dxa" w:w="7087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代码、迁移、文档、测试、截图或接口样例</w:t>
            </w:r>
          </w:p>
        </w:tc>
      </w:tr>
    </w:tbl>
    <w:p>
      <w:pPr>
        <w:spacing w:after="0"/>
      </w:pPr>
    </w:p>
    <w:p>
      <w:pPr>
        <w:pStyle w:val="Heading3"/>
        <w:spacing w:before="140" w:after="80"/>
      </w:pPr>
      <w:r>
        <w:rPr>
          <w:rFonts w:ascii="Noto Sans CJK SC" w:hAnsi="Noto Sans CJK SC" w:eastAsia="Noto Sans CJK SC"/>
          <w:b/>
          <w:color w:val="2F75B5"/>
          <w:sz w:val="24"/>
        </w:rPr>
        <w:t>示例：YZ-GRAPH-003 真实图谱生成进度接入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EEF5FB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10" w:color="1F4E78"/>
              <w:left w:val="single" w:sz="10" w:color="1F4E78"/>
              <w:bottom w:val="single" w:sz="4" w:color="D4E1EC"/>
              <w:right w:val="single" w:sz="4" w:color="D4E1EC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8"/>
                <w:sz w:val="22"/>
              </w:rPr>
              <w:t>可直接交给Codex/Claude Code的任务描述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目标：删除GenerationWizard中的setTimeout模拟步骤，改为消费统一AI Run事件。范围：teacher-web图谱工作区、packages/contracts事件类型和AI Runtime只读查询接口。非范围：不修改图谱算法。验收：生成任务创建后依次显示真实step事件；刷新页面可恢复任务；失败可重试；取消后状态一致；不存在任何定时器模拟进度。必须增加契约测试和Playwright场景。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8.5 Codex/Claude Code执行规则</w:t>
      </w:r>
    </w:p>
    <w:p>
      <w:pPr>
        <w:spacing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2F75B5"/>
          <w:sz w:val="21"/>
        </w:rPr>
        <w:t xml:space="preserve">1. </w:t>
      </w:r>
      <w:r>
        <w:rPr>
          <w:rFonts w:ascii="Noto Sans CJK SC" w:hAnsi="Noto Sans CJK SC" w:eastAsia="Noto Sans CJK SC"/>
          <w:sz w:val="21"/>
        </w:rPr>
        <w:t>一个任务只解决一个可验收问题，一个分支、一个PR；禁止一次提交跨越教师端、图谱、AI和OpenMAIC多个边界。</w:t>
      </w:r>
    </w:p>
    <w:p>
      <w:pPr>
        <w:spacing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2F75B5"/>
          <w:sz w:val="21"/>
        </w:rPr>
        <w:t xml:space="preserve">2. </w:t>
      </w:r>
      <w:r>
        <w:rPr>
          <w:rFonts w:ascii="Noto Sans CJK SC" w:hAnsi="Noto Sans CJK SC" w:eastAsia="Noto Sans CJK SC"/>
          <w:sz w:val="21"/>
        </w:rPr>
        <w:t>先读规格与现有代码，再输出变更计划；计划中必须列出将修改的文件、契约和测试。</w:t>
      </w:r>
    </w:p>
    <w:p>
      <w:pPr>
        <w:spacing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2F75B5"/>
          <w:sz w:val="21"/>
        </w:rPr>
        <w:t xml:space="preserve">3. </w:t>
      </w:r>
      <w:r>
        <w:rPr>
          <w:rFonts w:ascii="Noto Sans CJK SC" w:hAnsi="Noto Sans CJK SC" w:eastAsia="Noto Sans CJK SC"/>
          <w:sz w:val="21"/>
        </w:rPr>
        <w:t>契约优先：接口和Schema先合并或同PR生成，前后端不得各自猜字段。</w:t>
      </w:r>
    </w:p>
    <w:p>
      <w:pPr>
        <w:spacing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2F75B5"/>
          <w:sz w:val="21"/>
        </w:rPr>
        <w:t xml:space="preserve">4. </w:t>
      </w:r>
      <w:r>
        <w:rPr>
          <w:rFonts w:ascii="Noto Sans CJK SC" w:hAnsi="Noto Sans CJK SC" w:eastAsia="Noto Sans CJK SC"/>
          <w:sz w:val="21"/>
        </w:rPr>
        <w:t>禁止“为了让编译通过”删除校验、弱化权限或用any/ignore大面积掩盖类型问题。</w:t>
      </w:r>
    </w:p>
    <w:p>
      <w:pPr>
        <w:spacing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2F75B5"/>
          <w:sz w:val="21"/>
        </w:rPr>
        <w:t xml:space="preserve">5. </w:t>
      </w:r>
      <w:r>
        <w:rPr>
          <w:rFonts w:ascii="Noto Sans CJK SC" w:hAnsi="Noto Sans CJK SC" w:eastAsia="Noto Sans CJK SC"/>
          <w:sz w:val="21"/>
        </w:rPr>
        <w:t>每个PR必须包含：变更摘要、风险、测试证据、数据库影响、回滚办法、是否含AI生成代码。</w:t>
      </w:r>
    </w:p>
    <w:p>
      <w:pPr>
        <w:spacing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2F75B5"/>
          <w:sz w:val="21"/>
        </w:rPr>
        <w:t xml:space="preserve">6. </w:t>
      </w:r>
      <w:r>
        <w:rPr>
          <w:rFonts w:ascii="Noto Sans CJK SC" w:hAnsi="Noto Sans CJK SC" w:eastAsia="Noto Sans CJK SC"/>
          <w:sz w:val="21"/>
        </w:rPr>
        <w:t>架构负责人和业务产品必须共同验收教师主路径；AI工具不能替代业务验收。</w:t>
      </w:r>
    </w:p>
    <w:p>
      <w:r>
        <w:br w:type="page"/>
      </w: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8.6 建议首批工作包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1361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28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工作包</w:t>
            </w:r>
          </w:p>
        </w:tc>
        <w:tc>
          <w:tcPr>
            <w:tcW w:type="dxa" w:w="198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依赖</w:t>
            </w:r>
          </w:p>
        </w:tc>
        <w:tc>
          <w:tcPr>
            <w:tcW w:type="dxa" w:w="357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验收产物</w:t>
            </w:r>
          </w:p>
        </w:tc>
      </w:tr>
      <w:tr>
        <w:tc>
          <w:tcPr>
            <w:tcW w:type="dxa" w:w="136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WP-00</w:t>
            </w:r>
          </w:p>
        </w:tc>
        <w:tc>
          <w:tcPr>
            <w:tcW w:type="dxa" w:w="32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安全、构建和CI基线</w:t>
            </w:r>
          </w:p>
        </w:tc>
        <w:tc>
          <w:tcPr>
            <w:tcW w:type="dxa" w:w="19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无</w:t>
            </w:r>
          </w:p>
        </w:tc>
        <w:tc>
          <w:tcPr>
            <w:tcW w:type="dxa" w:w="35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密钥轮换清单、三端CI、基础测试、构建绿灯</w:t>
            </w:r>
          </w:p>
        </w:tc>
      </w:tr>
      <w:tr>
        <w:tc>
          <w:tcPr>
            <w:tcW w:type="dxa" w:w="136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WP-01</w:t>
            </w:r>
          </w:p>
        </w:tc>
        <w:tc>
          <w:tcPr>
            <w:tcW w:type="dxa" w:w="328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AI Runtime骨架与模型网关</w:t>
            </w:r>
          </w:p>
        </w:tc>
        <w:tc>
          <w:tcPr>
            <w:tcW w:type="dxa" w:w="198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WP-00</w:t>
            </w:r>
          </w:p>
        </w:tc>
        <w:tc>
          <w:tcPr>
            <w:tcW w:type="dxa" w:w="357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Run API、事件、模型策略、调用日志</w:t>
            </w:r>
          </w:p>
        </w:tc>
      </w:tr>
      <w:tr>
        <w:tc>
          <w:tcPr>
            <w:tcW w:type="dxa" w:w="136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WP-02</w:t>
            </w:r>
          </w:p>
        </w:tc>
        <w:tc>
          <w:tcPr>
            <w:tcW w:type="dxa" w:w="32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教师资源中心真实化</w:t>
            </w:r>
          </w:p>
        </w:tc>
        <w:tc>
          <w:tcPr>
            <w:tcW w:type="dxa" w:w="19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WP-00/01</w:t>
            </w:r>
          </w:p>
        </w:tc>
        <w:tc>
          <w:tcPr>
            <w:tcW w:type="dxa" w:w="35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资源解析状态、质量详情、生成范围篮子</w:t>
            </w:r>
          </w:p>
        </w:tc>
      </w:tr>
      <w:tr>
        <w:tc>
          <w:tcPr>
            <w:tcW w:type="dxa" w:w="136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WP-03</w:t>
            </w:r>
          </w:p>
        </w:tc>
        <w:tc>
          <w:tcPr>
            <w:tcW w:type="dxa" w:w="328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图谱Workflow与Schema</w:t>
            </w:r>
          </w:p>
        </w:tc>
        <w:tc>
          <w:tcPr>
            <w:tcW w:type="dxa" w:w="198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WP-01/02</w:t>
            </w:r>
          </w:p>
        </w:tc>
        <w:tc>
          <w:tcPr>
            <w:tcW w:type="dxa" w:w="357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结构化候选、证据、质量Issue和版本</w:t>
            </w:r>
          </w:p>
        </w:tc>
      </w:tr>
      <w:tr>
        <w:tc>
          <w:tcPr>
            <w:tcW w:type="dxa" w:w="136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WP-04</w:t>
            </w:r>
          </w:p>
        </w:tc>
        <w:tc>
          <w:tcPr>
            <w:tcW w:type="dxa" w:w="32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图谱审校工作区</w:t>
            </w:r>
          </w:p>
        </w:tc>
        <w:tc>
          <w:tcPr>
            <w:tcW w:type="dxa" w:w="19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WP-03</w:t>
            </w:r>
          </w:p>
        </w:tc>
        <w:tc>
          <w:tcPr>
            <w:tcW w:type="dxa" w:w="35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真实差异、Patch保存、问题队列、发布</w:t>
            </w:r>
          </w:p>
        </w:tc>
      </w:tr>
      <w:tr>
        <w:tc>
          <w:tcPr>
            <w:tcW w:type="dxa" w:w="136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WP-05</w:t>
            </w:r>
          </w:p>
        </w:tc>
        <w:tc>
          <w:tcPr>
            <w:tcW w:type="dxa" w:w="328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Course/Lesson Blueprint</w:t>
            </w:r>
          </w:p>
        </w:tc>
        <w:tc>
          <w:tcPr>
            <w:tcW w:type="dxa" w:w="198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WP-03</w:t>
            </w:r>
          </w:p>
        </w:tc>
        <w:tc>
          <w:tcPr>
            <w:tcW w:type="dxa" w:w="357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课程与课时业务模型、编辑器和生成Skill</w:t>
            </w:r>
          </w:p>
        </w:tc>
      </w:tr>
      <w:tr>
        <w:tc>
          <w:tcPr>
            <w:tcW w:type="dxa" w:w="136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WP-06</w:t>
            </w:r>
          </w:p>
        </w:tc>
        <w:tc>
          <w:tcPr>
            <w:tcW w:type="dxa" w:w="32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OpenMAIC适配层</w:t>
            </w:r>
          </w:p>
        </w:tc>
        <w:tc>
          <w:tcPr>
            <w:tcW w:type="dxa" w:w="19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WP-01/05</w:t>
            </w:r>
          </w:p>
        </w:tc>
        <w:tc>
          <w:tcPr>
            <w:tcW w:type="dxa" w:w="35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SSO、存储、Experience生成和编辑</w:t>
            </w:r>
          </w:p>
        </w:tc>
      </w:tr>
      <w:tr>
        <w:tc>
          <w:tcPr>
            <w:tcW w:type="dxa" w:w="136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WP-07</w:t>
            </w:r>
          </w:p>
        </w:tc>
        <w:tc>
          <w:tcPr>
            <w:tcW w:type="dxa" w:w="328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发布与学习数据回流</w:t>
            </w:r>
          </w:p>
        </w:tc>
        <w:tc>
          <w:tcPr>
            <w:tcW w:type="dxa" w:w="1984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WP-06</w:t>
            </w:r>
          </w:p>
        </w:tc>
        <w:tc>
          <w:tcPr>
            <w:tcW w:type="dxa" w:w="357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课堂版本、Runtime Record、学生入口</w:t>
            </w:r>
          </w:p>
        </w:tc>
      </w:tr>
      <w:tr>
        <w:tc>
          <w:tcPr>
            <w:tcW w:type="dxa" w:w="136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WP-08</w:t>
            </w:r>
          </w:p>
        </w:tc>
        <w:tc>
          <w:tcPr>
            <w:tcW w:type="dxa" w:w="32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OBE证据映射</w:t>
            </w:r>
          </w:p>
        </w:tc>
        <w:tc>
          <w:tcPr>
            <w:tcW w:type="dxa" w:w="19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WP-05/07</w:t>
            </w:r>
          </w:p>
        </w:tc>
        <w:tc>
          <w:tcPr>
            <w:tcW w:type="dxa" w:w="357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Scene/题目到CO/指标的证据链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80" w:after="80"/>
      </w:pPr>
      <w:r>
        <w:rPr>
          <w:rFonts w:ascii="Noto Sans CJK SC" w:hAnsi="Noto Sans CJK SC" w:eastAsia="Noto Sans CJK SC"/>
          <w:b/>
          <w:color w:val="2F75B5"/>
          <w:sz w:val="26"/>
        </w:rPr>
        <w:t>第9章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1F4E78"/>
          <w:sz w:val="46"/>
        </w:rPr>
        <w:t>验收标准、风险与决策事项</w:t>
      </w:r>
    </w:p>
    <w:p>
      <w:pPr>
        <w:spacing w:after="280"/>
      </w:pPr>
      <w:r>
        <w:rPr>
          <w:rFonts w:ascii="Noto Sans CJK SC" w:hAnsi="Noto Sans CJK SC" w:eastAsia="Noto Sans CJK SC"/>
          <w:color w:val="5B6573"/>
          <w:sz w:val="21"/>
        </w:rPr>
        <w:t>建设完成与否，以教师能否稳定交付课程和数据是否可治理来判断。</w:t>
      </w:r>
    </w:p>
    <w:p>
      <w:pPr>
        <w:spacing w:after="240"/>
        <w:pBdr>
          <w:bottom w:val="single" w:sz="10" w:space="1" w:color="2F75B5"/>
        </w:pBdr>
      </w:pP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9.1 首期业务验收标准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</w:trPr>
        <w:tc>
          <w:tcPr>
            <w:tcW w:type="dxa" w:w="226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验收域</w:t>
            </w:r>
          </w:p>
        </w:tc>
        <w:tc>
          <w:tcPr>
            <w:tcW w:type="dxa" w:w="7370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必须达到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教师主路径</w:t>
            </w:r>
          </w:p>
        </w:tc>
        <w:tc>
          <w:tcPr>
            <w:tcW w:type="dxa" w:w="737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新教师无需研发协助，能完成资源上传、图谱审校、课程蓝图、课件生成和发布</w:t>
            </w:r>
          </w:p>
        </w:tc>
      </w:tr>
      <w:tr>
        <w:tc>
          <w:tcPr>
            <w:tcW w:type="dxa" w:w="226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真实性</w:t>
            </w:r>
          </w:p>
        </w:tc>
        <w:tc>
          <w:tcPr>
            <w:tcW w:type="dxa" w:w="7370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教师端主路径不存在Mock数据、模拟进度、无效保存按钮和仅console.log操作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可追溯</w:t>
            </w:r>
          </w:p>
        </w:tc>
        <w:tc>
          <w:tcPr>
            <w:tcW w:type="dxa" w:w="737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图谱节点、课程蓝图和生成内容可追溯到资源版本、片段和AI Run</w:t>
            </w:r>
          </w:p>
        </w:tc>
      </w:tr>
      <w:tr>
        <w:tc>
          <w:tcPr>
            <w:tcW w:type="dxa" w:w="226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可编辑</w:t>
            </w:r>
          </w:p>
        </w:tc>
        <w:tc>
          <w:tcPr>
            <w:tcW w:type="dxa" w:w="7370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AI结果不是只读文本，能以Patch/结构化对象进入教师编辑与版本流程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可回退</w:t>
            </w:r>
          </w:p>
        </w:tc>
        <w:tc>
          <w:tcPr>
            <w:tcW w:type="dxa" w:w="737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图谱、课程蓝图、教学资产和发布版本均可查看历史并回退</w:t>
            </w:r>
          </w:p>
        </w:tc>
      </w:tr>
      <w:tr>
        <w:tc>
          <w:tcPr>
            <w:tcW w:type="dxa" w:w="226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权限安全</w:t>
            </w:r>
          </w:p>
        </w:tc>
        <w:tc>
          <w:tcPr>
            <w:tcW w:type="dxa" w:w="7370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用户只能访问所在课程和组织允许的数据；模型与Graphiti不向浏览器暴露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稳定性</w:t>
            </w:r>
          </w:p>
        </w:tc>
        <w:tc>
          <w:tcPr>
            <w:tcW w:type="dxa" w:w="737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失败可重试、刷新可恢复、长任务不依赖浏览器保持在线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9.2 技术验收指标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</w:trPr>
        <w:tc>
          <w:tcPr>
            <w:tcW w:type="dxa" w:w="311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6520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目标</w:t>
            </w:r>
          </w:p>
        </w:tc>
      </w:tr>
      <w:tr>
        <w:tc>
          <w:tcPr>
            <w:tcW w:type="dxa" w:w="311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全仓构建</w:t>
            </w:r>
          </w:p>
        </w:tc>
        <w:tc>
          <w:tcPr>
            <w:tcW w:type="dxa" w:w="65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Core API、teacher-web、ai-runtime、openmaic-studio主分支全部通过</w:t>
            </w:r>
          </w:p>
        </w:tc>
      </w:tr>
      <w:tr>
        <w:tc>
          <w:tcPr>
            <w:tcW w:type="dxa" w:w="311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自动测试</w:t>
            </w:r>
          </w:p>
        </w:tc>
        <w:tc>
          <w:tcPr>
            <w:tcW w:type="dxa" w:w="6520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核心模块单测≥70%；教师主路径E2E全绿</w:t>
            </w:r>
          </w:p>
        </w:tc>
      </w:tr>
      <w:tr>
        <w:tc>
          <w:tcPr>
            <w:tcW w:type="dxa" w:w="311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AI输出结构成功率</w:t>
            </w:r>
          </w:p>
        </w:tc>
        <w:tc>
          <w:tcPr>
            <w:tcW w:type="dxa" w:w="65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固定评测集≥98%，失败自动修复/重试并可观测</w:t>
            </w:r>
          </w:p>
        </w:tc>
      </w:tr>
      <w:tr>
        <w:tc>
          <w:tcPr>
            <w:tcW w:type="dxa" w:w="311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图谱证据覆盖</w:t>
            </w:r>
          </w:p>
        </w:tc>
        <w:tc>
          <w:tcPr>
            <w:tcW w:type="dxa" w:w="6520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节点≥90%，关键关系≥80%</w:t>
            </w:r>
          </w:p>
        </w:tc>
      </w:tr>
      <w:tr>
        <w:tc>
          <w:tcPr>
            <w:tcW w:type="dxa" w:w="311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任务可靠性</w:t>
            </w:r>
          </w:p>
        </w:tc>
        <w:tc>
          <w:tcPr>
            <w:tcW w:type="dxa" w:w="65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任务可恢复、可取消、可重试；无“页面关闭即丢失”</w:t>
            </w:r>
          </w:p>
        </w:tc>
      </w:tr>
      <w:tr>
        <w:tc>
          <w:tcPr>
            <w:tcW w:type="dxa" w:w="311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审计</w:t>
            </w:r>
          </w:p>
        </w:tc>
        <w:tc>
          <w:tcPr>
            <w:tcW w:type="dxa" w:w="6520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记录用户、模型/Skill版本、输入资源、工具调用、输出产物和成本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9.3 主要风险与应对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2551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340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表现</w:t>
            </w:r>
          </w:p>
        </w:tc>
        <w:tc>
          <w:tcPr>
            <w:tcW w:type="dxa" w:w="3685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应对</w:t>
            </w:r>
          </w:p>
        </w:tc>
      </w:tr>
      <w:tr>
        <w:tc>
          <w:tcPr>
            <w:tcW w:type="dxa" w:w="25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继续在现有页面上堆功能</w:t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大文件更大、真假路径混杂</w:t>
            </w:r>
          </w:p>
        </w:tc>
        <w:tc>
          <w:tcPr>
            <w:tcW w:type="dxa" w:w="36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先拆边界和契约，再做功能</w:t>
            </w:r>
          </w:p>
        </w:tc>
      </w:tr>
      <w:tr>
        <w:tc>
          <w:tcPr>
            <w:tcW w:type="dxa" w:w="255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OpenMAIC深度魔改</w:t>
            </w:r>
          </w:p>
        </w:tc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无法跟上游升级</w:t>
            </w:r>
          </w:p>
        </w:tc>
        <w:tc>
          <w:tcPr>
            <w:tcW w:type="dxa" w:w="368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独立Fork、Adapter优先、定期rebase和差异清单</w:t>
            </w:r>
          </w:p>
        </w:tc>
      </w:tr>
      <w:tr>
        <w:tc>
          <w:tcPr>
            <w:tcW w:type="dxa" w:w="25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Graphiti继续承担所有图谱</w:t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官方知识不稳定、治理失控</w:t>
            </w:r>
          </w:p>
        </w:tc>
        <w:tc>
          <w:tcPr>
            <w:tcW w:type="dxa" w:w="36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官方图谱与动态记忆双轨分工</w:t>
            </w:r>
          </w:p>
        </w:tc>
      </w:tr>
      <w:tr>
        <w:tc>
          <w:tcPr>
            <w:tcW w:type="dxa" w:w="255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AI编码工具跨模块改动</w:t>
            </w:r>
          </w:p>
        </w:tc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隐性回归和权限漏洞</w:t>
            </w:r>
          </w:p>
        </w:tc>
        <w:tc>
          <w:tcPr>
            <w:tcW w:type="dxa" w:w="368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任务卡限定目录、契约测试、人工评审</w:t>
            </w:r>
          </w:p>
        </w:tc>
      </w:tr>
      <w:tr>
        <w:tc>
          <w:tcPr>
            <w:tcW w:type="dxa" w:w="255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过早微服务化</w:t>
            </w:r>
          </w:p>
        </w:tc>
        <w:tc>
          <w:tcPr>
            <w:tcW w:type="dxa" w:w="340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运维复杂、团队负担大</w:t>
            </w:r>
          </w:p>
        </w:tc>
        <w:tc>
          <w:tcPr>
            <w:tcW w:type="dxa" w:w="368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先模块化单体+独立AI/OpenMAIC服务，按压力再拆</w:t>
            </w:r>
          </w:p>
        </w:tc>
      </w:tr>
      <w:tr>
        <w:tc>
          <w:tcPr>
            <w:tcW w:type="dxa" w:w="255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模型质量不稳定</w:t>
            </w:r>
          </w:p>
        </w:tc>
        <w:tc>
          <w:tcPr>
            <w:tcW w:type="dxa" w:w="3402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图谱和课程资产不可用</w:t>
            </w:r>
          </w:p>
        </w:tc>
        <w:tc>
          <w:tcPr>
            <w:tcW w:type="dxa" w:w="368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Schema、证据、评测集、人工确认和模型策略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rFonts w:ascii="Noto Sans CJK SC" w:hAnsi="Noto Sans CJK SC" w:eastAsia="Noto Sans CJK SC"/>
          <w:b/>
          <w:color w:val="1F4E78"/>
          <w:sz w:val="30"/>
        </w:rPr>
        <w:t>9.4 需要尽快拍板的决策</w:t>
      </w:r>
    </w:p>
    <w:p>
      <w:pPr>
        <w:spacing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2F75B5"/>
          <w:sz w:val="21"/>
        </w:rPr>
        <w:t xml:space="preserve">1. </w:t>
      </w:r>
      <w:r>
        <w:rPr>
          <w:rFonts w:ascii="Noto Sans CJK SC" w:hAnsi="Noto Sans CJK SC" w:eastAsia="Noto Sans CJK SC"/>
          <w:sz w:val="21"/>
        </w:rPr>
        <w:t>确认教师端首期样板课程及3—5位真实教师，共同定义验收场景。</w:t>
      </w:r>
    </w:p>
    <w:p>
      <w:pPr>
        <w:spacing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2F75B5"/>
          <w:sz w:val="21"/>
        </w:rPr>
        <w:t xml:space="preserve">2. </w:t>
      </w:r>
      <w:r>
        <w:rPr>
          <w:rFonts w:ascii="Noto Sans CJK SC" w:hAnsi="Noto Sans CJK SC" w:eastAsia="Noto Sans CJK SC"/>
          <w:sz w:val="21"/>
        </w:rPr>
        <w:t>确认AI Runtime采用独立TypeScript服务，并禁止业务端新增模型直连。</w:t>
      </w:r>
    </w:p>
    <w:p>
      <w:pPr>
        <w:spacing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2F75B5"/>
          <w:sz w:val="21"/>
        </w:rPr>
        <w:t xml:space="preserve">3. </w:t>
      </w:r>
      <w:r>
        <w:rPr>
          <w:rFonts w:ascii="Noto Sans CJK SC" w:hAnsi="Noto Sans CJK SC" w:eastAsia="Noto Sans CJK SC"/>
          <w:sz w:val="21"/>
        </w:rPr>
        <w:t>确认OpenMAIC以独立应用/Fork接入，首期不改写为Vue。</w:t>
      </w:r>
    </w:p>
    <w:p>
      <w:pPr>
        <w:spacing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2F75B5"/>
          <w:sz w:val="21"/>
        </w:rPr>
        <w:t xml:space="preserve">4. </w:t>
      </w:r>
      <w:r>
        <w:rPr>
          <w:rFonts w:ascii="Noto Sans CJK SC" w:hAnsi="Noto Sans CJK SC" w:eastAsia="Noto Sans CJK SC"/>
          <w:sz w:val="21"/>
        </w:rPr>
        <w:t>确认官方课程知识图谱与Graphiti动态上下文图分离。</w:t>
      </w:r>
    </w:p>
    <w:p>
      <w:pPr>
        <w:spacing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2F75B5"/>
          <w:sz w:val="21"/>
        </w:rPr>
        <w:t xml:space="preserve">5. </w:t>
      </w:r>
      <w:r>
        <w:rPr>
          <w:rFonts w:ascii="Noto Sans CJK SC" w:hAnsi="Noto Sans CJK SC" w:eastAsia="Noto Sans CJK SC"/>
          <w:sz w:val="21"/>
        </w:rPr>
        <w:t>确认18周计划的人力投入和工作流负责人。</w:t>
      </w:r>
    </w:p>
    <w:p>
      <w:pPr>
        <w:spacing w:after="60" w:line="288" w:lineRule="auto"/>
        <w:ind w:left="312" w:hanging="312"/>
      </w:pPr>
      <w:r>
        <w:rPr>
          <w:rFonts w:ascii="Noto Sans CJK SC" w:hAnsi="Noto Sans CJK SC" w:eastAsia="Noto Sans CJK SC"/>
          <w:b/>
          <w:color w:val="2F75B5"/>
          <w:sz w:val="21"/>
        </w:rPr>
        <w:t xml:space="preserve">6. </w:t>
      </w:r>
      <w:r>
        <w:rPr>
          <w:rFonts w:ascii="Noto Sans CJK SC" w:hAnsi="Noto Sans CJK SC" w:eastAsia="Noto Sans CJK SC"/>
          <w:sz w:val="21"/>
        </w:rPr>
        <w:t>确认P0安全与构建基线在任何新功能前完成。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EEF5FB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10" w:color="1F4E78"/>
              <w:left w:val="single" w:sz="10" w:color="1F4E78"/>
              <w:bottom w:val="single" w:sz="4" w:color="D4E1EC"/>
              <w:right w:val="single" w:sz="4" w:color="D4E1EC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8"/>
                <w:sz w:val="22"/>
              </w:rPr>
              <w:t>最终建议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color w:val="243447"/>
                <w:sz w:val="20"/>
              </w:rPr>
              <w:t>把“教师完成一门高质量课程”作为所有整改工作的唯一主线。元知业务平台负责治理和闭环，统一AI Runtime负责智能执行，官方知识图谱负责可信知识模型，OpenMAIC负责可编辑的教学体验，Graphiti负责动态上下文。这样既能复用现有代码，又能形成元知真正不可替代的产品能力。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80" w:after="80"/>
      </w:pPr>
      <w:r>
        <w:rPr>
          <w:rFonts w:ascii="Noto Sans CJK SC" w:hAnsi="Noto Sans CJK SC" w:eastAsia="Noto Sans CJK SC"/>
          <w:b/>
          <w:color w:val="2F75B5"/>
          <w:sz w:val="26"/>
        </w:rPr>
        <w:t>附录A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1F4E78"/>
          <w:sz w:val="46"/>
        </w:rPr>
        <w:t>现有代码重点整改清单</w:t>
      </w:r>
    </w:p>
    <w:p>
      <w:pPr>
        <w:spacing w:after="280"/>
      </w:pPr>
      <w:r>
        <w:rPr>
          <w:rFonts w:ascii="Noto Sans CJK SC" w:hAnsi="Noto Sans CJK SC" w:eastAsia="Noto Sans CJK SC"/>
          <w:color w:val="5B6573"/>
          <w:sz w:val="21"/>
        </w:rPr>
        <w:t>用于建立首批Issue/工作包。</w:t>
      </w:r>
    </w:p>
    <w:p>
      <w:pPr>
        <w:spacing w:after="240"/>
        <w:pBdr>
          <w:bottom w:val="single" w:sz="10" w:space="1" w:color="2F75B5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294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代码位置</w:t>
            </w:r>
          </w:p>
        </w:tc>
        <w:tc>
          <w:tcPr>
            <w:tcW w:type="dxa" w:w="3061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294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建议动作</w:t>
            </w:r>
          </w:p>
        </w:tc>
        <w:tc>
          <w:tcPr>
            <w:tcW w:type="dxa" w:w="1020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backendyz/.../application.yml</w:t>
            </w:r>
          </w:p>
        </w:tc>
        <w:tc>
          <w:tcPr>
            <w:tcW w:type="dxa" w:w="306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存在敏感配置直写风险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轮换密钥、环境变量化、历史清理</w:t>
            </w:r>
          </w:p>
        </w:tc>
        <w:tc>
          <w:tcPr>
            <w:tcW w:type="dxa" w:w="10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P0</w:t>
            </w:r>
          </w:p>
        </w:tc>
      </w:tr>
      <w:tr>
        <w:tc>
          <w:tcPr>
            <w:tcW w:type="dxa" w:w="294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yuanzhi/ai-gateway/middleware.ts</w:t>
            </w:r>
          </w:p>
        </w:tc>
        <w:tc>
          <w:tcPr>
            <w:tcW w:type="dxa" w:w="306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认证与CORS边界不足</w:t>
            </w:r>
          </w:p>
        </w:tc>
        <w:tc>
          <w:tcPr>
            <w:tcW w:type="dxa" w:w="294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JWT/服务身份、限流、允许域</w:t>
            </w:r>
          </w:p>
        </w:tc>
        <w:tc>
          <w:tcPr>
            <w:tcW w:type="dxa" w:w="1020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P0</w:t>
            </w:r>
          </w:p>
        </w:tc>
      </w:tr>
      <w:tr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QwenDocChatService / OpenAIEmbeddingProvider</w:t>
            </w:r>
          </w:p>
        </w:tc>
        <w:tc>
          <w:tcPr>
            <w:tcW w:type="dxa" w:w="306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业务后端直接调用模型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替换AiRuntimeClient</w:t>
            </w:r>
          </w:p>
        </w:tc>
        <w:tc>
          <w:tcPr>
            <w:tcW w:type="dxa" w:w="10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P1</w:t>
            </w:r>
          </w:p>
        </w:tc>
      </w:tr>
      <w:tr>
        <w:tc>
          <w:tcPr>
            <w:tcW w:type="dxa" w:w="294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ai-gateway /api/ai/analyze、stream</w:t>
            </w:r>
          </w:p>
        </w:tc>
        <w:tc>
          <w:tcPr>
            <w:tcW w:type="dxa" w:w="306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重复Prompt和模型调用</w:t>
            </w:r>
          </w:p>
        </w:tc>
        <w:tc>
          <w:tcPr>
            <w:tcW w:type="dxa" w:w="294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重构为AI Runtime Run/Skill API</w:t>
            </w:r>
          </w:p>
        </w:tc>
        <w:tc>
          <w:tcPr>
            <w:tcW w:type="dxa" w:w="1020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P1</w:t>
            </w:r>
          </w:p>
        </w:tc>
      </w:tr>
      <w:tr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NewCourseSpace.vue</w:t>
            </w:r>
          </w:p>
        </w:tc>
        <w:tc>
          <w:tcPr>
            <w:tcW w:type="dxa" w:w="306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超大组件、Mock与真实逻辑混合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拆工作区与Store，移除Prompt</w:t>
            </w:r>
          </w:p>
        </w:tc>
        <w:tc>
          <w:tcPr>
            <w:tcW w:type="dxa" w:w="10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P1</w:t>
            </w:r>
          </w:p>
        </w:tc>
      </w:tr>
      <w:tr>
        <w:tc>
          <w:tcPr>
            <w:tcW w:type="dxa" w:w="294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AISidebar.vue / ChatBox.vue</w:t>
            </w:r>
          </w:p>
        </w:tc>
        <w:tc>
          <w:tcPr>
            <w:tcW w:type="dxa" w:w="306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模拟对话、localStorage历史</w:t>
            </w:r>
          </w:p>
        </w:tc>
        <w:tc>
          <w:tcPr>
            <w:tcW w:type="dxa" w:w="294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服务端Session、真实Run事件</w:t>
            </w:r>
          </w:p>
        </w:tc>
        <w:tc>
          <w:tcPr>
            <w:tcW w:type="dxa" w:w="1020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P1</w:t>
            </w:r>
          </w:p>
        </w:tc>
      </w:tr>
      <w:tr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GenerationWizard.vue</w:t>
            </w:r>
          </w:p>
        </w:tc>
        <w:tc>
          <w:tcPr>
            <w:tcW w:type="dxa" w:w="306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setTimeout模拟生成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统一任务时间线组件</w:t>
            </w:r>
          </w:p>
        </w:tc>
        <w:tc>
          <w:tcPr>
            <w:tcW w:type="dxa" w:w="10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P1</w:t>
            </w:r>
          </w:p>
        </w:tc>
      </w:tr>
      <w:tr>
        <w:tc>
          <w:tcPr>
            <w:tcW w:type="dxa" w:w="294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KnowledgeGraph.vue</w:t>
            </w:r>
          </w:p>
        </w:tc>
        <w:tc>
          <w:tcPr>
            <w:tcW w:type="dxa" w:w="306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随机Mock Diff、本地Apply</w:t>
            </w:r>
          </w:p>
        </w:tc>
        <w:tc>
          <w:tcPr>
            <w:tcW w:type="dxa" w:w="294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真实版本Diff和Patch API</w:t>
            </w:r>
          </w:p>
        </w:tc>
        <w:tc>
          <w:tcPr>
            <w:tcW w:type="dxa" w:w="1020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P1</w:t>
            </w:r>
          </w:p>
        </w:tc>
      </w:tr>
      <w:tr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courseService.ts / syllabus.ts</w:t>
            </w:r>
          </w:p>
        </w:tc>
        <w:tc>
          <w:tcPr>
            <w:tcW w:type="dxa" w:w="306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课程、图谱和目标Mock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接Course Blueprint API</w:t>
            </w:r>
          </w:p>
        </w:tc>
        <w:tc>
          <w:tcPr>
            <w:tcW w:type="dxa" w:w="10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P1</w:t>
            </w:r>
          </w:p>
        </w:tc>
      </w:tr>
      <w:tr>
        <w:tc>
          <w:tcPr>
            <w:tcW w:type="dxa" w:w="294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GraphJobScheduler.java</w:t>
            </w:r>
          </w:p>
        </w:tc>
        <w:tc>
          <w:tcPr>
            <w:tcW w:type="dxa" w:w="306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工作流长类</w:t>
            </w:r>
          </w:p>
        </w:tc>
        <w:tc>
          <w:tcPr>
            <w:tcW w:type="dxa" w:w="294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拆Step Handler与事件</w:t>
            </w:r>
          </w:p>
        </w:tc>
        <w:tc>
          <w:tcPr>
            <w:tcW w:type="dxa" w:w="1020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P1</w:t>
            </w:r>
          </w:p>
        </w:tc>
      </w:tr>
      <w:tr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graphiti_core目录</w:t>
            </w:r>
          </w:p>
        </w:tc>
        <w:tc>
          <w:tcPr>
            <w:tcW w:type="dxa" w:w="3061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完整上游源码复制</w:t>
            </w:r>
          </w:p>
        </w:tc>
        <w:tc>
          <w:tcPr>
            <w:tcW w:type="dxa" w:w="294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独立部署，只保留Adapter</w:t>
            </w:r>
          </w:p>
        </w:tc>
        <w:tc>
          <w:tcPr>
            <w:tcW w:type="dxa" w:w="10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P2</w:t>
            </w:r>
          </w:p>
        </w:tc>
      </w:tr>
      <w:tr>
        <w:tc>
          <w:tcPr>
            <w:tcW w:type="dxa" w:w="294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课程助教/智能课件占位</w:t>
            </w:r>
          </w:p>
        </w:tc>
        <w:tc>
          <w:tcPr>
            <w:tcW w:type="dxa" w:w="3061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无实际功能</w:t>
            </w:r>
          </w:p>
        </w:tc>
        <w:tc>
          <w:tcPr>
            <w:tcW w:type="dxa" w:w="294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接AI助手和OpenMAIC或暂时移除</w:t>
            </w:r>
          </w:p>
        </w:tc>
        <w:tc>
          <w:tcPr>
            <w:tcW w:type="dxa" w:w="1020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6"/>
              </w:rPr>
              <w:t>P2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80" w:after="80"/>
      </w:pPr>
      <w:r>
        <w:rPr>
          <w:rFonts w:ascii="Noto Sans CJK SC" w:hAnsi="Noto Sans CJK SC" w:eastAsia="Noto Sans CJK SC"/>
          <w:b/>
          <w:color w:val="2F75B5"/>
          <w:sz w:val="26"/>
        </w:rPr>
        <w:t>附录B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1F4E78"/>
          <w:sz w:val="46"/>
        </w:rPr>
        <w:t>开源项目与参考资料</w:t>
      </w:r>
    </w:p>
    <w:p>
      <w:pPr>
        <w:spacing w:after="280"/>
      </w:pPr>
      <w:r>
        <w:rPr>
          <w:rFonts w:ascii="Noto Sans CJK SC" w:hAnsi="Noto Sans CJK SC" w:eastAsia="Noto Sans CJK SC"/>
          <w:color w:val="5B6573"/>
          <w:sz w:val="21"/>
        </w:rPr>
        <w:t>项目版本和许可证应在正式采购/发布前由法务再次核验。</w:t>
      </w:r>
    </w:p>
    <w:p>
      <w:pPr>
        <w:spacing w:after="240"/>
        <w:pBdr>
          <w:bottom w:val="single" w:sz="10" w:space="1" w:color="2F75B5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226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资料</w:t>
            </w:r>
          </w:p>
        </w:tc>
        <w:tc>
          <w:tcPr>
            <w:tcW w:type="dxa" w:w="4535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地址</w:t>
            </w:r>
          </w:p>
        </w:tc>
        <w:tc>
          <w:tcPr>
            <w:tcW w:type="dxa" w:w="2835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本方案使用点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OpenMAIC</w:t>
            </w:r>
          </w:p>
        </w:tc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https://github.com/THU-MAIC/OpenMAIC</w:t>
            </w:r>
          </w:p>
        </w:tc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课程DSL、互动场景、编辑、播放与导出</w:t>
            </w:r>
          </w:p>
        </w:tc>
      </w:tr>
      <w:tr>
        <w:tc>
          <w:tcPr>
            <w:tcW w:type="dxa" w:w="226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Pi Agent Harness</w:t>
            </w:r>
          </w:p>
        </w:tc>
        <w:tc>
          <w:tcPr>
            <w:tcW w:type="dxa" w:w="45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https://github.com/earendil-works/pi</w:t>
            </w:r>
          </w:p>
        </w:tc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Agent运行循环、工具与状态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Graphiti</w:t>
            </w:r>
          </w:p>
        </w:tc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https://github.com/getzep/graphiti</w:t>
            </w:r>
          </w:p>
        </w:tc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动态时序上下文图与Agent记忆</w:t>
            </w:r>
          </w:p>
        </w:tc>
      </w:tr>
      <w:tr>
        <w:tc>
          <w:tcPr>
            <w:tcW w:type="dxa" w:w="2268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MinerU</w:t>
            </w:r>
          </w:p>
        </w:tc>
        <w:tc>
          <w:tcPr>
            <w:tcW w:type="dxa" w:w="45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https://github.com/opendatalab/MinerU</w:t>
            </w:r>
          </w:p>
        </w:tc>
        <w:tc>
          <w:tcPr>
            <w:tcW w:type="dxa" w:w="2835"/>
            <w:shd w:fill="F7FA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复杂PDF/文档解析（可选）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元知现有源码</w:t>
            </w:r>
          </w:p>
        </w:tc>
        <w:tc>
          <w:tcPr>
            <w:tcW w:type="dxa" w:w="45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YuanzhiOS-NEW-FRAMEWORK.zip</w:t>
            </w:r>
          </w:p>
        </w:tc>
        <w:tc>
          <w:tcPr>
            <w:tcW w:type="dxa" w:w="283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8E1E8"/>
              <w:left w:val="single" w:sz="4" w:color="D8E1E8"/>
              <w:bottom w:val="single" w:sz="4" w:color="D8E1E8"/>
              <w:right w:val="single" w:sz="4" w:color="D8E1E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447"/>
                <w:sz w:val="18"/>
              </w:rPr>
              <w:t>本次静态审查对象</w:t>
            </w:r>
          </w:p>
        </w:tc>
      </w:tr>
    </w:tbl>
    <w:p>
      <w:pPr>
        <w:spacing w:after="0"/>
      </w:pPr>
    </w:p>
    <w:p>
      <w:pPr>
        <w:spacing w:after="100" w:line="300" w:lineRule="auto"/>
      </w:pPr>
      <w:r>
        <w:rPr>
          <w:rFonts w:ascii="Noto Sans CJK SC" w:hAnsi="Noto Sans CJK SC" w:eastAsia="Noto Sans CJK SC"/>
        </w:rPr>
        <w:t>OpenMAIC当前根项目采用MIT许可，但其仓库中部分第三方组件保留独立许可证；pi采用MIT许可；Graphiti和MinerU的正式商用与部署义务应以采用时的对应版本LICENSE为准。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19" w:bottom="1020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7A8793"/>
        <w:sz w:val="17"/>
      </w:rPr>
      <w:t>基于 YuanzhiOS-NEW-FRAMEWORK 源码审查</w:t>
    </w:r>
    <w:r>
      <w:t xml:space="preserve">第 </w:t>
      <w:fldChar w:fldCharType="begin"/>
      <w:instrText xml:space="preserve"> PAGE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A8793"/>
        <w:sz w:val="17"/>
      </w:rPr>
      <w:t>元知OS整改建设方案｜内部执行稿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元知OS教师端、知识图谱与AI底座整改建设方案</dc:title>
  <dc:subject>元知OS代码整改、教师端建设、知识图谱、AI Runtime与OpenMAIC融合</dc:subject>
  <dc:creator>OpenAI</dc:creator>
  <cp:keywords>元知OS, 教师端, 知识图谱, AI Runtime, OpenMAIC, Codex, Claude Code</cp:keywords>
  <dc:description>基于用户提供源码的静态审查生成。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