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A8F2" w14:textId="77777777" w:rsidR="00CC5851" w:rsidRPr="003A2146" w:rsidRDefault="00CC5851" w:rsidP="00CC5851">
      <w:pPr>
        <w:spacing w:after="200"/>
        <w:jc w:val="center"/>
        <w:rPr>
          <w:rFonts w:ascii="Calibri" w:hAnsi="Calibri" w:cs="Calibri"/>
          <w:b/>
          <w:bCs/>
          <w:color w:val="1F3864"/>
          <w:sz w:val="40"/>
          <w:szCs w:val="40"/>
        </w:rPr>
      </w:pPr>
    </w:p>
    <w:p w14:paraId="2EEC0DE3" w14:textId="77777777" w:rsidR="00CC5851" w:rsidRPr="003A2146" w:rsidRDefault="00CC5851" w:rsidP="00CC5851">
      <w:pPr>
        <w:spacing w:after="200"/>
        <w:jc w:val="center"/>
        <w:rPr>
          <w:rFonts w:ascii="Calibri" w:hAnsi="Calibri" w:cs="Calibri"/>
          <w:b/>
          <w:bCs/>
          <w:color w:val="1F3864"/>
          <w:sz w:val="40"/>
          <w:szCs w:val="40"/>
        </w:rPr>
      </w:pPr>
    </w:p>
    <w:p w14:paraId="3C172A25" w14:textId="77777777" w:rsidR="00CC5851" w:rsidRPr="003A2146" w:rsidRDefault="00CC5851" w:rsidP="00CC5851">
      <w:pPr>
        <w:spacing w:after="200"/>
        <w:jc w:val="center"/>
        <w:rPr>
          <w:rFonts w:ascii="Calibri" w:hAnsi="Calibri" w:cs="Calibri"/>
          <w:b/>
          <w:bCs/>
          <w:color w:val="1F3864"/>
          <w:sz w:val="40"/>
          <w:szCs w:val="40"/>
        </w:rPr>
      </w:pPr>
    </w:p>
    <w:p w14:paraId="46F6C95C" w14:textId="77777777" w:rsidR="00CC5851" w:rsidRPr="003A2146" w:rsidRDefault="00CC5851" w:rsidP="00CC5851">
      <w:pPr>
        <w:spacing w:after="200"/>
        <w:jc w:val="center"/>
        <w:rPr>
          <w:rFonts w:ascii="Calibri" w:hAnsi="Calibri" w:cs="Calibri"/>
          <w:b/>
          <w:bCs/>
          <w:color w:val="1F3864"/>
          <w:sz w:val="40"/>
          <w:szCs w:val="40"/>
        </w:rPr>
      </w:pPr>
    </w:p>
    <w:p w14:paraId="488D720B" w14:textId="07854938" w:rsidR="00CC5851" w:rsidRPr="003A2146" w:rsidRDefault="00CC5851" w:rsidP="00CC5851">
      <w:pPr>
        <w:spacing w:after="200"/>
        <w:jc w:val="center"/>
        <w:rPr>
          <w:rFonts w:ascii="Calibri" w:hAnsi="Calibri" w:cs="Calibri"/>
          <w:b/>
          <w:bCs/>
          <w:color w:val="1F3864"/>
          <w:sz w:val="40"/>
          <w:szCs w:val="40"/>
        </w:rPr>
      </w:pPr>
      <w:r w:rsidRPr="003A2146">
        <w:rPr>
          <w:rFonts w:ascii="Calibri" w:hAnsi="Calibri" w:cs="Calibri"/>
          <w:b/>
          <w:bCs/>
          <w:color w:val="1F3864"/>
          <w:sz w:val="40"/>
          <w:szCs w:val="40"/>
        </w:rPr>
        <w:t>COS30019 INTRODUCTION TO ARTIFICIAL INTELLIGENCE</w:t>
      </w:r>
    </w:p>
    <w:p w14:paraId="755CDB5F" w14:textId="4B0353DC" w:rsidR="00CC5851" w:rsidRPr="003A2146" w:rsidRDefault="00CC5851" w:rsidP="00C133C2">
      <w:pPr>
        <w:jc w:val="center"/>
        <w:rPr>
          <w:rFonts w:ascii="Calibri" w:hAnsi="Calibri" w:cs="Calibri"/>
          <w:b/>
          <w:bCs/>
          <w:color w:val="1F3864"/>
          <w:sz w:val="28"/>
          <w:szCs w:val="28"/>
        </w:rPr>
      </w:pPr>
      <w:r w:rsidRPr="003A2146">
        <w:rPr>
          <w:rFonts w:ascii="Calibri" w:hAnsi="Calibri" w:cs="Calibri"/>
          <w:b/>
          <w:bCs/>
          <w:color w:val="1F3864"/>
          <w:sz w:val="28"/>
          <w:szCs w:val="28"/>
        </w:rPr>
        <w:t>Assignment 1 – Research into AI Ethics &amp; Responsible AI</w:t>
      </w:r>
    </w:p>
    <w:p w14:paraId="2B78D5FF" w14:textId="55B6512E" w:rsidR="005E1FA4" w:rsidRPr="003A2146" w:rsidRDefault="005E1FA4" w:rsidP="005E1FA4">
      <w:pPr>
        <w:jc w:val="center"/>
        <w:rPr>
          <w:rFonts w:ascii="Calibri" w:hAnsi="Calibri" w:cs="Calibri"/>
          <w:b/>
          <w:bCs/>
          <w:color w:val="1F3864"/>
          <w:sz w:val="28"/>
          <w:szCs w:val="28"/>
        </w:rPr>
      </w:pPr>
      <w:r w:rsidRPr="003A2146">
        <w:rPr>
          <w:rFonts w:ascii="Calibri" w:hAnsi="Calibri" w:cs="Calibri"/>
          <w:b/>
          <w:bCs/>
          <w:color w:val="1F3864"/>
          <w:sz w:val="28"/>
          <w:szCs w:val="28"/>
        </w:rPr>
        <w:t xml:space="preserve">Can the government's voluntary Guidance for AI Adoption remain flexible enough to capture new and emerging forms of high-risk AI, including general-purpose AI (GPAI) and Artificial General Intelligence (AGI)? </w:t>
      </w:r>
    </w:p>
    <w:p w14:paraId="0658C161" w14:textId="77BB0B03" w:rsidR="00CC5851" w:rsidRPr="003A2146" w:rsidRDefault="00CC5851" w:rsidP="00CC5851">
      <w:pPr>
        <w:jc w:val="center"/>
        <w:rPr>
          <w:rFonts w:ascii="Calibri" w:hAnsi="Calibri" w:cs="Calibri"/>
          <w:sz w:val="20"/>
          <w:szCs w:val="20"/>
        </w:rPr>
      </w:pPr>
      <w:r w:rsidRPr="003A2146">
        <w:rPr>
          <w:rFonts w:ascii="Calibri" w:hAnsi="Calibri" w:cs="Calibri"/>
          <w:sz w:val="20"/>
          <w:szCs w:val="20"/>
        </w:rPr>
        <w:t xml:space="preserve"> Hassan Ali Shah SYED (105797705)</w:t>
      </w:r>
    </w:p>
    <w:p w14:paraId="0E4247D1" w14:textId="77777777" w:rsidR="00CC5851" w:rsidRPr="003A2146" w:rsidRDefault="00CC5851" w:rsidP="00CC5851">
      <w:pPr>
        <w:jc w:val="center"/>
        <w:rPr>
          <w:rFonts w:ascii="Calibri" w:hAnsi="Calibri" w:cs="Calibri"/>
          <w:sz w:val="20"/>
          <w:szCs w:val="20"/>
        </w:rPr>
      </w:pPr>
    </w:p>
    <w:p w14:paraId="1E8E9719" w14:textId="77777777" w:rsidR="00CC5851" w:rsidRPr="003A2146" w:rsidRDefault="00CC5851" w:rsidP="00CC5851">
      <w:pPr>
        <w:jc w:val="center"/>
        <w:rPr>
          <w:rFonts w:ascii="Calibri" w:hAnsi="Calibri" w:cs="Calibri"/>
          <w:sz w:val="20"/>
          <w:szCs w:val="20"/>
        </w:rPr>
      </w:pPr>
    </w:p>
    <w:p w14:paraId="4FBEBE5E" w14:textId="77777777" w:rsidR="00CC5851" w:rsidRPr="003A2146" w:rsidRDefault="00CC5851" w:rsidP="00CC5851">
      <w:pPr>
        <w:jc w:val="center"/>
        <w:rPr>
          <w:rFonts w:ascii="Calibri" w:hAnsi="Calibri" w:cs="Calibri"/>
          <w:sz w:val="20"/>
          <w:szCs w:val="20"/>
        </w:rPr>
      </w:pPr>
    </w:p>
    <w:p w14:paraId="258A108E" w14:textId="77777777" w:rsidR="00CC5851" w:rsidRPr="003A2146" w:rsidRDefault="00CC5851" w:rsidP="00CC5851">
      <w:pPr>
        <w:jc w:val="center"/>
        <w:rPr>
          <w:rFonts w:ascii="Calibri" w:hAnsi="Calibri" w:cs="Calibri"/>
          <w:sz w:val="20"/>
          <w:szCs w:val="20"/>
        </w:rPr>
      </w:pPr>
    </w:p>
    <w:p w14:paraId="5E9CD466" w14:textId="77777777" w:rsidR="00CC5851" w:rsidRPr="003A2146" w:rsidRDefault="00CC5851" w:rsidP="00CC5851">
      <w:pPr>
        <w:jc w:val="center"/>
        <w:rPr>
          <w:rFonts w:ascii="Calibri" w:hAnsi="Calibri" w:cs="Calibri"/>
          <w:sz w:val="20"/>
          <w:szCs w:val="20"/>
        </w:rPr>
      </w:pPr>
    </w:p>
    <w:p w14:paraId="5FA6CA86" w14:textId="77777777" w:rsidR="00CC5851" w:rsidRPr="003A2146" w:rsidRDefault="00CC5851" w:rsidP="00CC5851">
      <w:pPr>
        <w:jc w:val="center"/>
        <w:rPr>
          <w:rFonts w:ascii="Calibri" w:hAnsi="Calibri" w:cs="Calibri"/>
          <w:sz w:val="20"/>
          <w:szCs w:val="20"/>
        </w:rPr>
      </w:pPr>
    </w:p>
    <w:p w14:paraId="50AC4002" w14:textId="77777777" w:rsidR="00CC5851" w:rsidRPr="003A2146" w:rsidRDefault="00CC5851" w:rsidP="00CC5851">
      <w:pPr>
        <w:jc w:val="center"/>
        <w:rPr>
          <w:rFonts w:ascii="Calibri" w:hAnsi="Calibri" w:cs="Calibri"/>
          <w:sz w:val="20"/>
          <w:szCs w:val="20"/>
        </w:rPr>
      </w:pPr>
    </w:p>
    <w:p w14:paraId="25D1F16D" w14:textId="77777777" w:rsidR="00CC5851" w:rsidRPr="003A2146" w:rsidRDefault="00CC5851" w:rsidP="00CC5851">
      <w:pPr>
        <w:jc w:val="center"/>
        <w:rPr>
          <w:rFonts w:ascii="Calibri" w:hAnsi="Calibri" w:cs="Calibri"/>
          <w:sz w:val="20"/>
          <w:szCs w:val="20"/>
        </w:rPr>
      </w:pPr>
    </w:p>
    <w:p w14:paraId="4708024B" w14:textId="77777777" w:rsidR="00CC5851" w:rsidRPr="003A2146" w:rsidRDefault="00CC5851" w:rsidP="00CC5851">
      <w:pPr>
        <w:jc w:val="center"/>
        <w:rPr>
          <w:rFonts w:ascii="Calibri" w:hAnsi="Calibri" w:cs="Calibri"/>
          <w:sz w:val="20"/>
          <w:szCs w:val="20"/>
        </w:rPr>
      </w:pPr>
    </w:p>
    <w:p w14:paraId="3417D4FE" w14:textId="77777777" w:rsidR="00CC5851" w:rsidRPr="003A2146" w:rsidRDefault="00CC5851" w:rsidP="00CC5851">
      <w:pPr>
        <w:jc w:val="center"/>
        <w:rPr>
          <w:rFonts w:ascii="Calibri" w:hAnsi="Calibri" w:cs="Calibri"/>
          <w:sz w:val="20"/>
          <w:szCs w:val="20"/>
        </w:rPr>
      </w:pPr>
    </w:p>
    <w:p w14:paraId="36D03156" w14:textId="77777777" w:rsidR="00CC5851" w:rsidRPr="003A2146" w:rsidRDefault="00CC5851" w:rsidP="00CC5851">
      <w:pPr>
        <w:jc w:val="center"/>
        <w:rPr>
          <w:rFonts w:ascii="Calibri" w:hAnsi="Calibri" w:cs="Calibri"/>
          <w:sz w:val="20"/>
          <w:szCs w:val="20"/>
        </w:rPr>
      </w:pPr>
    </w:p>
    <w:p w14:paraId="081AD7DC" w14:textId="77777777" w:rsidR="00404418" w:rsidRPr="003A2146" w:rsidRDefault="00404418" w:rsidP="00CC5851">
      <w:pPr>
        <w:jc w:val="center"/>
        <w:rPr>
          <w:rFonts w:ascii="Calibri" w:hAnsi="Calibri" w:cs="Calibri"/>
          <w:sz w:val="20"/>
          <w:szCs w:val="20"/>
        </w:rPr>
      </w:pPr>
    </w:p>
    <w:p w14:paraId="58EFF825" w14:textId="77777777" w:rsidR="00404418" w:rsidRPr="003A2146" w:rsidRDefault="00404418" w:rsidP="00CC5851">
      <w:pPr>
        <w:jc w:val="center"/>
        <w:rPr>
          <w:rFonts w:ascii="Calibri" w:hAnsi="Calibri" w:cs="Calibri"/>
          <w:sz w:val="20"/>
          <w:szCs w:val="20"/>
        </w:rPr>
      </w:pPr>
    </w:p>
    <w:p w14:paraId="49FB7C8B" w14:textId="77777777" w:rsidR="00404418" w:rsidRPr="003A2146" w:rsidRDefault="00404418" w:rsidP="00C133C2">
      <w:pPr>
        <w:rPr>
          <w:rFonts w:ascii="Calibri" w:hAnsi="Calibri" w:cs="Calibri"/>
          <w:sz w:val="20"/>
          <w:szCs w:val="20"/>
        </w:rPr>
      </w:pPr>
    </w:p>
    <w:p w14:paraId="7328131C" w14:textId="77777777" w:rsidR="00404418" w:rsidRPr="003A2146" w:rsidRDefault="00404418" w:rsidP="00CC5851">
      <w:pPr>
        <w:jc w:val="center"/>
        <w:rPr>
          <w:rFonts w:ascii="Calibri" w:hAnsi="Calibri" w:cs="Calibri"/>
          <w:sz w:val="20"/>
          <w:szCs w:val="20"/>
        </w:rPr>
      </w:pPr>
    </w:p>
    <w:sdt>
      <w:sdtPr>
        <w:rPr>
          <w:rFonts w:ascii="Calibri" w:eastAsiaTheme="minorHAnsi" w:hAnsi="Calibri" w:cs="Calibri"/>
          <w:color w:val="auto"/>
          <w:kern w:val="2"/>
          <w:sz w:val="24"/>
          <w:szCs w:val="24"/>
          <w14:ligatures w14:val="standardContextual"/>
        </w:rPr>
        <w:id w:val="-1043291528"/>
        <w:docPartObj>
          <w:docPartGallery w:val="Table of Contents"/>
          <w:docPartUnique/>
        </w:docPartObj>
      </w:sdtPr>
      <w:sdtEndPr>
        <w:rPr>
          <w:b/>
          <w:bCs/>
          <w:noProof/>
        </w:rPr>
      </w:sdtEndPr>
      <w:sdtContent>
        <w:p w14:paraId="20D3CDB9" w14:textId="226D6A0A" w:rsidR="00404418" w:rsidRPr="003A2146" w:rsidRDefault="00404418">
          <w:pPr>
            <w:pStyle w:val="TOCHeading"/>
            <w:rPr>
              <w:rFonts w:ascii="Calibri" w:hAnsi="Calibri" w:cs="Calibri"/>
            </w:rPr>
          </w:pPr>
          <w:r w:rsidRPr="003A2146">
            <w:rPr>
              <w:rFonts w:ascii="Calibri" w:hAnsi="Calibri" w:cs="Calibri"/>
            </w:rPr>
            <w:t>Contents</w:t>
          </w:r>
        </w:p>
        <w:p w14:paraId="729F742E" w14:textId="706D5C67" w:rsidR="002409F3" w:rsidRDefault="00404418">
          <w:pPr>
            <w:pStyle w:val="TOC1"/>
            <w:tabs>
              <w:tab w:val="right" w:leader="dot" w:pos="9350"/>
            </w:tabs>
            <w:rPr>
              <w:rFonts w:eastAsiaTheme="minorEastAsia"/>
              <w:noProof/>
            </w:rPr>
          </w:pPr>
          <w:r w:rsidRPr="003A2146">
            <w:rPr>
              <w:rFonts w:ascii="Calibri" w:hAnsi="Calibri" w:cs="Calibri"/>
            </w:rPr>
            <w:fldChar w:fldCharType="begin"/>
          </w:r>
          <w:r w:rsidRPr="003A2146">
            <w:rPr>
              <w:rFonts w:ascii="Calibri" w:hAnsi="Calibri" w:cs="Calibri"/>
            </w:rPr>
            <w:instrText xml:space="preserve"> TOC \o "1-3" \h \z \u </w:instrText>
          </w:r>
          <w:r w:rsidRPr="003A2146">
            <w:rPr>
              <w:rFonts w:ascii="Calibri" w:hAnsi="Calibri" w:cs="Calibri"/>
            </w:rPr>
            <w:fldChar w:fldCharType="separate"/>
          </w:r>
          <w:hyperlink w:anchor="_Toc242652882" w:history="1">
            <w:r w:rsidR="002409F3" w:rsidRPr="00FB1E09">
              <w:rPr>
                <w:rStyle w:val="Hyperlink"/>
                <w:rFonts w:ascii="Calibri" w:hAnsi="Calibri" w:cs="Calibri"/>
                <w:noProof/>
              </w:rPr>
              <w:t>Executive Summary</w:t>
            </w:r>
            <w:r w:rsidR="002409F3">
              <w:rPr>
                <w:noProof/>
                <w:webHidden/>
              </w:rPr>
              <w:tab/>
            </w:r>
            <w:r w:rsidR="002409F3">
              <w:rPr>
                <w:noProof/>
                <w:webHidden/>
              </w:rPr>
              <w:fldChar w:fldCharType="begin"/>
            </w:r>
            <w:r w:rsidR="002409F3">
              <w:rPr>
                <w:noProof/>
                <w:webHidden/>
              </w:rPr>
              <w:instrText xml:space="preserve"> PAGEREF _Toc242652882 \h </w:instrText>
            </w:r>
            <w:r w:rsidR="002409F3">
              <w:rPr>
                <w:noProof/>
                <w:webHidden/>
              </w:rPr>
            </w:r>
            <w:r w:rsidR="002409F3">
              <w:rPr>
                <w:noProof/>
                <w:webHidden/>
              </w:rPr>
              <w:fldChar w:fldCharType="separate"/>
            </w:r>
            <w:r w:rsidR="002409F3">
              <w:rPr>
                <w:noProof/>
                <w:webHidden/>
              </w:rPr>
              <w:t>3</w:t>
            </w:r>
            <w:r w:rsidR="002409F3">
              <w:rPr>
                <w:noProof/>
                <w:webHidden/>
              </w:rPr>
              <w:fldChar w:fldCharType="end"/>
            </w:r>
          </w:hyperlink>
        </w:p>
        <w:p w14:paraId="6A38F9ED" w14:textId="4F5B26F2" w:rsidR="002409F3" w:rsidRDefault="002409F3">
          <w:pPr>
            <w:pStyle w:val="TOC1"/>
            <w:tabs>
              <w:tab w:val="right" w:leader="dot" w:pos="9350"/>
            </w:tabs>
            <w:rPr>
              <w:rFonts w:eastAsiaTheme="minorEastAsia"/>
              <w:noProof/>
            </w:rPr>
          </w:pPr>
          <w:hyperlink w:anchor="_Toc242652883" w:history="1">
            <w:r w:rsidRPr="00FB1E09">
              <w:rPr>
                <w:rStyle w:val="Hyperlink"/>
                <w:rFonts w:ascii="Calibri" w:hAnsi="Calibri" w:cs="Calibri"/>
                <w:noProof/>
              </w:rPr>
              <w:t>1. Introduction</w:t>
            </w:r>
            <w:r>
              <w:rPr>
                <w:noProof/>
                <w:webHidden/>
              </w:rPr>
              <w:tab/>
            </w:r>
            <w:r>
              <w:rPr>
                <w:noProof/>
                <w:webHidden/>
              </w:rPr>
              <w:fldChar w:fldCharType="begin"/>
            </w:r>
            <w:r>
              <w:rPr>
                <w:noProof/>
                <w:webHidden/>
              </w:rPr>
              <w:instrText xml:space="preserve"> PAGEREF _Toc242652883 \h </w:instrText>
            </w:r>
            <w:r>
              <w:rPr>
                <w:noProof/>
                <w:webHidden/>
              </w:rPr>
            </w:r>
            <w:r>
              <w:rPr>
                <w:noProof/>
                <w:webHidden/>
              </w:rPr>
              <w:fldChar w:fldCharType="separate"/>
            </w:r>
            <w:r>
              <w:rPr>
                <w:noProof/>
                <w:webHidden/>
              </w:rPr>
              <w:t>4</w:t>
            </w:r>
            <w:r>
              <w:rPr>
                <w:noProof/>
                <w:webHidden/>
              </w:rPr>
              <w:fldChar w:fldCharType="end"/>
            </w:r>
          </w:hyperlink>
        </w:p>
        <w:p w14:paraId="26D8E49F" w14:textId="3A4CF885" w:rsidR="002409F3" w:rsidRDefault="002409F3">
          <w:pPr>
            <w:pStyle w:val="TOC2"/>
            <w:tabs>
              <w:tab w:val="right" w:leader="dot" w:pos="9350"/>
            </w:tabs>
            <w:rPr>
              <w:rFonts w:eastAsiaTheme="minorEastAsia"/>
              <w:noProof/>
            </w:rPr>
          </w:pPr>
          <w:hyperlink w:anchor="_Toc242652884" w:history="1">
            <w:r w:rsidRPr="00FB1E09">
              <w:rPr>
                <w:rStyle w:val="Hyperlink"/>
                <w:rFonts w:ascii="Calibri" w:hAnsi="Calibri" w:cs="Calibri"/>
                <w:noProof/>
              </w:rPr>
              <w:t>1.1 Background: AI Ethics Guidelines and the Emergence of GPAI</w:t>
            </w:r>
            <w:r>
              <w:rPr>
                <w:noProof/>
                <w:webHidden/>
              </w:rPr>
              <w:tab/>
            </w:r>
            <w:r>
              <w:rPr>
                <w:noProof/>
                <w:webHidden/>
              </w:rPr>
              <w:fldChar w:fldCharType="begin"/>
            </w:r>
            <w:r>
              <w:rPr>
                <w:noProof/>
                <w:webHidden/>
              </w:rPr>
              <w:instrText xml:space="preserve"> PAGEREF _Toc242652884 \h </w:instrText>
            </w:r>
            <w:r>
              <w:rPr>
                <w:noProof/>
                <w:webHidden/>
              </w:rPr>
            </w:r>
            <w:r>
              <w:rPr>
                <w:noProof/>
                <w:webHidden/>
              </w:rPr>
              <w:fldChar w:fldCharType="separate"/>
            </w:r>
            <w:r>
              <w:rPr>
                <w:noProof/>
                <w:webHidden/>
              </w:rPr>
              <w:t>4</w:t>
            </w:r>
            <w:r>
              <w:rPr>
                <w:noProof/>
                <w:webHidden/>
              </w:rPr>
              <w:fldChar w:fldCharType="end"/>
            </w:r>
          </w:hyperlink>
        </w:p>
        <w:p w14:paraId="69C77456" w14:textId="7201D4EE" w:rsidR="002409F3" w:rsidRDefault="002409F3">
          <w:pPr>
            <w:pStyle w:val="TOC2"/>
            <w:tabs>
              <w:tab w:val="right" w:leader="dot" w:pos="9350"/>
            </w:tabs>
            <w:rPr>
              <w:rFonts w:eastAsiaTheme="minorEastAsia"/>
              <w:noProof/>
            </w:rPr>
          </w:pPr>
          <w:hyperlink w:anchor="_Toc242652885" w:history="1">
            <w:r w:rsidRPr="00FB1E09">
              <w:rPr>
                <w:rStyle w:val="Hyperlink"/>
                <w:rFonts w:ascii="Calibri" w:hAnsi="Calibri" w:cs="Calibri"/>
                <w:noProof/>
              </w:rPr>
              <w:t>1.2 Key Issues: The Australian Policy Context and the Research Problem</w:t>
            </w:r>
            <w:r>
              <w:rPr>
                <w:noProof/>
                <w:webHidden/>
              </w:rPr>
              <w:tab/>
            </w:r>
            <w:r>
              <w:rPr>
                <w:noProof/>
                <w:webHidden/>
              </w:rPr>
              <w:fldChar w:fldCharType="begin"/>
            </w:r>
            <w:r>
              <w:rPr>
                <w:noProof/>
                <w:webHidden/>
              </w:rPr>
              <w:instrText xml:space="preserve"> PAGEREF _Toc242652885 \h </w:instrText>
            </w:r>
            <w:r>
              <w:rPr>
                <w:noProof/>
                <w:webHidden/>
              </w:rPr>
            </w:r>
            <w:r>
              <w:rPr>
                <w:noProof/>
                <w:webHidden/>
              </w:rPr>
              <w:fldChar w:fldCharType="separate"/>
            </w:r>
            <w:r>
              <w:rPr>
                <w:noProof/>
                <w:webHidden/>
              </w:rPr>
              <w:t>4</w:t>
            </w:r>
            <w:r>
              <w:rPr>
                <w:noProof/>
                <w:webHidden/>
              </w:rPr>
              <w:fldChar w:fldCharType="end"/>
            </w:r>
          </w:hyperlink>
        </w:p>
        <w:p w14:paraId="23C6F983" w14:textId="3B1DE2DF" w:rsidR="002409F3" w:rsidRDefault="002409F3">
          <w:pPr>
            <w:pStyle w:val="TOC2"/>
            <w:tabs>
              <w:tab w:val="right" w:leader="dot" w:pos="9350"/>
            </w:tabs>
            <w:rPr>
              <w:rFonts w:eastAsiaTheme="minorEastAsia"/>
              <w:noProof/>
            </w:rPr>
          </w:pPr>
          <w:hyperlink w:anchor="_Toc242652886" w:history="1">
            <w:r w:rsidRPr="00FB1E09">
              <w:rPr>
                <w:rStyle w:val="Hyperlink"/>
                <w:rFonts w:ascii="Calibri" w:hAnsi="Calibri" w:cs="Calibri"/>
                <w:noProof/>
              </w:rPr>
              <w:t>1.3 Methodology and Scope of Research</w:t>
            </w:r>
            <w:r>
              <w:rPr>
                <w:noProof/>
                <w:webHidden/>
              </w:rPr>
              <w:tab/>
            </w:r>
            <w:r>
              <w:rPr>
                <w:noProof/>
                <w:webHidden/>
              </w:rPr>
              <w:fldChar w:fldCharType="begin"/>
            </w:r>
            <w:r>
              <w:rPr>
                <w:noProof/>
                <w:webHidden/>
              </w:rPr>
              <w:instrText xml:space="preserve"> PAGEREF _Toc242652886 \h </w:instrText>
            </w:r>
            <w:r>
              <w:rPr>
                <w:noProof/>
                <w:webHidden/>
              </w:rPr>
            </w:r>
            <w:r>
              <w:rPr>
                <w:noProof/>
                <w:webHidden/>
              </w:rPr>
              <w:fldChar w:fldCharType="separate"/>
            </w:r>
            <w:r>
              <w:rPr>
                <w:noProof/>
                <w:webHidden/>
              </w:rPr>
              <w:t>5</w:t>
            </w:r>
            <w:r>
              <w:rPr>
                <w:noProof/>
                <w:webHidden/>
              </w:rPr>
              <w:fldChar w:fldCharType="end"/>
            </w:r>
          </w:hyperlink>
        </w:p>
        <w:p w14:paraId="235ECA25" w14:textId="70BB0A7F" w:rsidR="002409F3" w:rsidRDefault="002409F3">
          <w:pPr>
            <w:pStyle w:val="TOC1"/>
            <w:tabs>
              <w:tab w:val="right" w:leader="dot" w:pos="9350"/>
            </w:tabs>
            <w:rPr>
              <w:rFonts w:eastAsiaTheme="minorEastAsia"/>
              <w:noProof/>
            </w:rPr>
          </w:pPr>
          <w:hyperlink w:anchor="_Toc242652887" w:history="1">
            <w:r w:rsidRPr="00FB1E09">
              <w:rPr>
                <w:rStyle w:val="Hyperlink"/>
                <w:rFonts w:ascii="Calibri" w:hAnsi="Calibri" w:cs="Calibri"/>
                <w:noProof/>
              </w:rPr>
              <w:t>2. Findings</w:t>
            </w:r>
            <w:r>
              <w:rPr>
                <w:noProof/>
                <w:webHidden/>
              </w:rPr>
              <w:tab/>
            </w:r>
            <w:r>
              <w:rPr>
                <w:noProof/>
                <w:webHidden/>
              </w:rPr>
              <w:fldChar w:fldCharType="begin"/>
            </w:r>
            <w:r>
              <w:rPr>
                <w:noProof/>
                <w:webHidden/>
              </w:rPr>
              <w:instrText xml:space="preserve"> PAGEREF _Toc242652887 \h </w:instrText>
            </w:r>
            <w:r>
              <w:rPr>
                <w:noProof/>
                <w:webHidden/>
              </w:rPr>
            </w:r>
            <w:r>
              <w:rPr>
                <w:noProof/>
                <w:webHidden/>
              </w:rPr>
              <w:fldChar w:fldCharType="separate"/>
            </w:r>
            <w:r>
              <w:rPr>
                <w:noProof/>
                <w:webHidden/>
              </w:rPr>
              <w:t>5</w:t>
            </w:r>
            <w:r>
              <w:rPr>
                <w:noProof/>
                <w:webHidden/>
              </w:rPr>
              <w:fldChar w:fldCharType="end"/>
            </w:r>
          </w:hyperlink>
        </w:p>
        <w:p w14:paraId="067D9FB9" w14:textId="4249EA0B" w:rsidR="002409F3" w:rsidRDefault="002409F3">
          <w:pPr>
            <w:pStyle w:val="TOC2"/>
            <w:tabs>
              <w:tab w:val="right" w:leader="dot" w:pos="9350"/>
            </w:tabs>
            <w:rPr>
              <w:rFonts w:eastAsiaTheme="minorEastAsia"/>
              <w:noProof/>
            </w:rPr>
          </w:pPr>
          <w:hyperlink w:anchor="_Toc242652888" w:history="1">
            <w:r w:rsidRPr="00FB1E09">
              <w:rPr>
                <w:rStyle w:val="Hyperlink"/>
                <w:rFonts w:ascii="Calibri" w:hAnsi="Calibri" w:cs="Calibri"/>
                <w:noProof/>
              </w:rPr>
              <w:t>2.1 Does the Guidance Capture GPAI as an Emerging Form of High-Risk AI?</w:t>
            </w:r>
            <w:r>
              <w:rPr>
                <w:noProof/>
                <w:webHidden/>
              </w:rPr>
              <w:tab/>
            </w:r>
            <w:r>
              <w:rPr>
                <w:noProof/>
                <w:webHidden/>
              </w:rPr>
              <w:fldChar w:fldCharType="begin"/>
            </w:r>
            <w:r>
              <w:rPr>
                <w:noProof/>
                <w:webHidden/>
              </w:rPr>
              <w:instrText xml:space="preserve"> PAGEREF _Toc242652888 \h </w:instrText>
            </w:r>
            <w:r>
              <w:rPr>
                <w:noProof/>
                <w:webHidden/>
              </w:rPr>
            </w:r>
            <w:r>
              <w:rPr>
                <w:noProof/>
                <w:webHidden/>
              </w:rPr>
              <w:fldChar w:fldCharType="separate"/>
            </w:r>
            <w:r>
              <w:rPr>
                <w:noProof/>
                <w:webHidden/>
              </w:rPr>
              <w:t>5</w:t>
            </w:r>
            <w:r>
              <w:rPr>
                <w:noProof/>
                <w:webHidden/>
              </w:rPr>
              <w:fldChar w:fldCharType="end"/>
            </w:r>
          </w:hyperlink>
        </w:p>
        <w:p w14:paraId="1C652B1D" w14:textId="4C744520" w:rsidR="002409F3" w:rsidRDefault="002409F3">
          <w:pPr>
            <w:pStyle w:val="TOC2"/>
            <w:tabs>
              <w:tab w:val="right" w:leader="dot" w:pos="9350"/>
            </w:tabs>
            <w:rPr>
              <w:rFonts w:eastAsiaTheme="minorEastAsia"/>
              <w:noProof/>
            </w:rPr>
          </w:pPr>
          <w:hyperlink w:anchor="_Toc242652889" w:history="1">
            <w:r w:rsidRPr="00FB1E09">
              <w:rPr>
                <w:rStyle w:val="Hyperlink"/>
                <w:rFonts w:ascii="Calibri" w:hAnsi="Calibri" w:cs="Calibri"/>
                <w:noProof/>
              </w:rPr>
              <w:t>2.2 Can a Voluntary Guideline Ever Be Flexible in Practice, Even with Good Intentions?</w:t>
            </w:r>
            <w:r>
              <w:rPr>
                <w:noProof/>
                <w:webHidden/>
              </w:rPr>
              <w:tab/>
            </w:r>
            <w:r>
              <w:rPr>
                <w:noProof/>
                <w:webHidden/>
              </w:rPr>
              <w:fldChar w:fldCharType="begin"/>
            </w:r>
            <w:r>
              <w:rPr>
                <w:noProof/>
                <w:webHidden/>
              </w:rPr>
              <w:instrText xml:space="preserve"> PAGEREF _Toc242652889 \h </w:instrText>
            </w:r>
            <w:r>
              <w:rPr>
                <w:noProof/>
                <w:webHidden/>
              </w:rPr>
            </w:r>
            <w:r>
              <w:rPr>
                <w:noProof/>
                <w:webHidden/>
              </w:rPr>
              <w:fldChar w:fldCharType="separate"/>
            </w:r>
            <w:r>
              <w:rPr>
                <w:noProof/>
                <w:webHidden/>
              </w:rPr>
              <w:t>7</w:t>
            </w:r>
            <w:r>
              <w:rPr>
                <w:noProof/>
                <w:webHidden/>
              </w:rPr>
              <w:fldChar w:fldCharType="end"/>
            </w:r>
          </w:hyperlink>
        </w:p>
        <w:p w14:paraId="7033C622" w14:textId="6A1B0F90" w:rsidR="002409F3" w:rsidRDefault="002409F3">
          <w:pPr>
            <w:pStyle w:val="TOC2"/>
            <w:tabs>
              <w:tab w:val="right" w:leader="dot" w:pos="9350"/>
            </w:tabs>
            <w:rPr>
              <w:rFonts w:eastAsiaTheme="minorEastAsia"/>
              <w:noProof/>
            </w:rPr>
          </w:pPr>
          <w:hyperlink w:anchor="_Toc242652890" w:history="1">
            <w:r w:rsidRPr="00FB1E09">
              <w:rPr>
                <w:rStyle w:val="Hyperlink"/>
                <w:rFonts w:ascii="Calibri" w:hAnsi="Calibri" w:cs="Calibri"/>
                <w:noProof/>
              </w:rPr>
              <w:t>2.3 Is the Alternative, Binding, Tiered Regulation, Actually More Flexible?</w:t>
            </w:r>
            <w:r>
              <w:rPr>
                <w:noProof/>
                <w:webHidden/>
              </w:rPr>
              <w:tab/>
            </w:r>
            <w:r>
              <w:rPr>
                <w:noProof/>
                <w:webHidden/>
              </w:rPr>
              <w:fldChar w:fldCharType="begin"/>
            </w:r>
            <w:r>
              <w:rPr>
                <w:noProof/>
                <w:webHidden/>
              </w:rPr>
              <w:instrText xml:space="preserve"> PAGEREF _Toc242652890 \h </w:instrText>
            </w:r>
            <w:r>
              <w:rPr>
                <w:noProof/>
                <w:webHidden/>
              </w:rPr>
            </w:r>
            <w:r>
              <w:rPr>
                <w:noProof/>
                <w:webHidden/>
              </w:rPr>
              <w:fldChar w:fldCharType="separate"/>
            </w:r>
            <w:r>
              <w:rPr>
                <w:noProof/>
                <w:webHidden/>
              </w:rPr>
              <w:t>8</w:t>
            </w:r>
            <w:r>
              <w:rPr>
                <w:noProof/>
                <w:webHidden/>
              </w:rPr>
              <w:fldChar w:fldCharType="end"/>
            </w:r>
          </w:hyperlink>
        </w:p>
        <w:p w14:paraId="0D44F4F3" w14:textId="0EBE7562" w:rsidR="002409F3" w:rsidRDefault="002409F3">
          <w:pPr>
            <w:pStyle w:val="TOC2"/>
            <w:tabs>
              <w:tab w:val="right" w:leader="dot" w:pos="9350"/>
            </w:tabs>
            <w:rPr>
              <w:rFonts w:eastAsiaTheme="minorEastAsia"/>
              <w:noProof/>
            </w:rPr>
          </w:pPr>
          <w:hyperlink w:anchor="_Toc242652891" w:history="1">
            <w:r w:rsidRPr="00FB1E09">
              <w:rPr>
                <w:rStyle w:val="Hyperlink"/>
                <w:rFonts w:ascii="Calibri" w:hAnsi="Calibri" w:cs="Calibri"/>
                <w:noProof/>
              </w:rPr>
              <w:t>2.4 AGI, Real-World Incidents, and Why This Is Not Just an Australian Problem</w:t>
            </w:r>
            <w:r>
              <w:rPr>
                <w:noProof/>
                <w:webHidden/>
              </w:rPr>
              <w:tab/>
            </w:r>
            <w:r>
              <w:rPr>
                <w:noProof/>
                <w:webHidden/>
              </w:rPr>
              <w:fldChar w:fldCharType="begin"/>
            </w:r>
            <w:r>
              <w:rPr>
                <w:noProof/>
                <w:webHidden/>
              </w:rPr>
              <w:instrText xml:space="preserve"> PAGEREF _Toc242652891 \h </w:instrText>
            </w:r>
            <w:r>
              <w:rPr>
                <w:noProof/>
                <w:webHidden/>
              </w:rPr>
            </w:r>
            <w:r>
              <w:rPr>
                <w:noProof/>
                <w:webHidden/>
              </w:rPr>
              <w:fldChar w:fldCharType="separate"/>
            </w:r>
            <w:r>
              <w:rPr>
                <w:noProof/>
                <w:webHidden/>
              </w:rPr>
              <w:t>9</w:t>
            </w:r>
            <w:r>
              <w:rPr>
                <w:noProof/>
                <w:webHidden/>
              </w:rPr>
              <w:fldChar w:fldCharType="end"/>
            </w:r>
          </w:hyperlink>
        </w:p>
        <w:p w14:paraId="2975C5A7" w14:textId="026B64BD" w:rsidR="002409F3" w:rsidRDefault="002409F3">
          <w:pPr>
            <w:pStyle w:val="TOC1"/>
            <w:tabs>
              <w:tab w:val="right" w:leader="dot" w:pos="9350"/>
            </w:tabs>
            <w:rPr>
              <w:rFonts w:eastAsiaTheme="minorEastAsia"/>
              <w:noProof/>
            </w:rPr>
          </w:pPr>
          <w:hyperlink w:anchor="_Toc242652892" w:history="1">
            <w:r w:rsidRPr="00FB1E09">
              <w:rPr>
                <w:rStyle w:val="Hyperlink"/>
                <w:rFonts w:ascii="Calibri" w:hAnsi="Calibri" w:cs="Calibri"/>
                <w:noProof/>
              </w:rPr>
              <w:t>3. Conclusion and Recommendations</w:t>
            </w:r>
            <w:r>
              <w:rPr>
                <w:noProof/>
                <w:webHidden/>
              </w:rPr>
              <w:tab/>
            </w:r>
            <w:r>
              <w:rPr>
                <w:noProof/>
                <w:webHidden/>
              </w:rPr>
              <w:fldChar w:fldCharType="begin"/>
            </w:r>
            <w:r>
              <w:rPr>
                <w:noProof/>
                <w:webHidden/>
              </w:rPr>
              <w:instrText xml:space="preserve"> PAGEREF _Toc242652892 \h </w:instrText>
            </w:r>
            <w:r>
              <w:rPr>
                <w:noProof/>
                <w:webHidden/>
              </w:rPr>
            </w:r>
            <w:r>
              <w:rPr>
                <w:noProof/>
                <w:webHidden/>
              </w:rPr>
              <w:fldChar w:fldCharType="separate"/>
            </w:r>
            <w:r>
              <w:rPr>
                <w:noProof/>
                <w:webHidden/>
              </w:rPr>
              <w:t>10</w:t>
            </w:r>
            <w:r>
              <w:rPr>
                <w:noProof/>
                <w:webHidden/>
              </w:rPr>
              <w:fldChar w:fldCharType="end"/>
            </w:r>
          </w:hyperlink>
        </w:p>
        <w:p w14:paraId="262C5410" w14:textId="5C64527B" w:rsidR="002409F3" w:rsidRDefault="002409F3">
          <w:pPr>
            <w:pStyle w:val="TOC2"/>
            <w:tabs>
              <w:tab w:val="right" w:leader="dot" w:pos="9350"/>
            </w:tabs>
            <w:rPr>
              <w:rFonts w:eastAsiaTheme="minorEastAsia"/>
              <w:noProof/>
            </w:rPr>
          </w:pPr>
          <w:hyperlink w:anchor="_Toc242652893" w:history="1">
            <w:r w:rsidRPr="00FB1E09">
              <w:rPr>
                <w:rStyle w:val="Hyperlink"/>
                <w:rFonts w:ascii="Calibri" w:hAnsi="Calibri" w:cs="Calibri"/>
                <w:noProof/>
              </w:rPr>
              <w:t>3.1 Conclusion</w:t>
            </w:r>
            <w:r>
              <w:rPr>
                <w:noProof/>
                <w:webHidden/>
              </w:rPr>
              <w:tab/>
            </w:r>
            <w:r>
              <w:rPr>
                <w:noProof/>
                <w:webHidden/>
              </w:rPr>
              <w:fldChar w:fldCharType="begin"/>
            </w:r>
            <w:r>
              <w:rPr>
                <w:noProof/>
                <w:webHidden/>
              </w:rPr>
              <w:instrText xml:space="preserve"> PAGEREF _Toc242652893 \h </w:instrText>
            </w:r>
            <w:r>
              <w:rPr>
                <w:noProof/>
                <w:webHidden/>
              </w:rPr>
            </w:r>
            <w:r>
              <w:rPr>
                <w:noProof/>
                <w:webHidden/>
              </w:rPr>
              <w:fldChar w:fldCharType="separate"/>
            </w:r>
            <w:r>
              <w:rPr>
                <w:noProof/>
                <w:webHidden/>
              </w:rPr>
              <w:t>10</w:t>
            </w:r>
            <w:r>
              <w:rPr>
                <w:noProof/>
                <w:webHidden/>
              </w:rPr>
              <w:fldChar w:fldCharType="end"/>
            </w:r>
          </w:hyperlink>
        </w:p>
        <w:p w14:paraId="0DA1ACBA" w14:textId="65A45785" w:rsidR="002409F3" w:rsidRDefault="002409F3">
          <w:pPr>
            <w:pStyle w:val="TOC2"/>
            <w:tabs>
              <w:tab w:val="right" w:leader="dot" w:pos="9350"/>
            </w:tabs>
            <w:rPr>
              <w:rFonts w:eastAsiaTheme="minorEastAsia"/>
              <w:noProof/>
            </w:rPr>
          </w:pPr>
          <w:hyperlink w:anchor="_Toc242652894" w:history="1">
            <w:r w:rsidRPr="00FB1E09">
              <w:rPr>
                <w:rStyle w:val="Hyperlink"/>
                <w:rFonts w:ascii="Calibri" w:hAnsi="Calibri" w:cs="Calibri"/>
                <w:noProof/>
              </w:rPr>
              <w:t>3.2 Recommendations</w:t>
            </w:r>
            <w:r>
              <w:rPr>
                <w:noProof/>
                <w:webHidden/>
              </w:rPr>
              <w:tab/>
            </w:r>
            <w:r>
              <w:rPr>
                <w:noProof/>
                <w:webHidden/>
              </w:rPr>
              <w:fldChar w:fldCharType="begin"/>
            </w:r>
            <w:r>
              <w:rPr>
                <w:noProof/>
                <w:webHidden/>
              </w:rPr>
              <w:instrText xml:space="preserve"> PAGEREF _Toc242652894 \h </w:instrText>
            </w:r>
            <w:r>
              <w:rPr>
                <w:noProof/>
                <w:webHidden/>
              </w:rPr>
            </w:r>
            <w:r>
              <w:rPr>
                <w:noProof/>
                <w:webHidden/>
              </w:rPr>
              <w:fldChar w:fldCharType="separate"/>
            </w:r>
            <w:r>
              <w:rPr>
                <w:noProof/>
                <w:webHidden/>
              </w:rPr>
              <w:t>11</w:t>
            </w:r>
            <w:r>
              <w:rPr>
                <w:noProof/>
                <w:webHidden/>
              </w:rPr>
              <w:fldChar w:fldCharType="end"/>
            </w:r>
          </w:hyperlink>
        </w:p>
        <w:p w14:paraId="0E6C16EB" w14:textId="61056F26" w:rsidR="002409F3" w:rsidRDefault="002409F3">
          <w:pPr>
            <w:pStyle w:val="TOC1"/>
            <w:tabs>
              <w:tab w:val="right" w:leader="dot" w:pos="9350"/>
            </w:tabs>
            <w:rPr>
              <w:rFonts w:eastAsiaTheme="minorEastAsia"/>
              <w:noProof/>
            </w:rPr>
          </w:pPr>
          <w:hyperlink w:anchor="_Toc242652895" w:history="1">
            <w:r w:rsidRPr="00FB1E09">
              <w:rPr>
                <w:rStyle w:val="Hyperlink"/>
                <w:rFonts w:ascii="Calibri" w:hAnsi="Calibri" w:cs="Calibri"/>
                <w:noProof/>
              </w:rPr>
              <w:t>Acknowledgements/Resources</w:t>
            </w:r>
            <w:r>
              <w:rPr>
                <w:noProof/>
                <w:webHidden/>
              </w:rPr>
              <w:tab/>
            </w:r>
            <w:r>
              <w:rPr>
                <w:noProof/>
                <w:webHidden/>
              </w:rPr>
              <w:fldChar w:fldCharType="begin"/>
            </w:r>
            <w:r>
              <w:rPr>
                <w:noProof/>
                <w:webHidden/>
              </w:rPr>
              <w:instrText xml:space="preserve"> PAGEREF _Toc242652895 \h </w:instrText>
            </w:r>
            <w:r>
              <w:rPr>
                <w:noProof/>
                <w:webHidden/>
              </w:rPr>
            </w:r>
            <w:r>
              <w:rPr>
                <w:noProof/>
                <w:webHidden/>
              </w:rPr>
              <w:fldChar w:fldCharType="separate"/>
            </w:r>
            <w:r>
              <w:rPr>
                <w:noProof/>
                <w:webHidden/>
              </w:rPr>
              <w:t>12</w:t>
            </w:r>
            <w:r>
              <w:rPr>
                <w:noProof/>
                <w:webHidden/>
              </w:rPr>
              <w:fldChar w:fldCharType="end"/>
            </w:r>
          </w:hyperlink>
        </w:p>
        <w:p w14:paraId="63B7E373" w14:textId="32C6B119" w:rsidR="002409F3" w:rsidRDefault="002409F3">
          <w:pPr>
            <w:pStyle w:val="TOC1"/>
            <w:tabs>
              <w:tab w:val="right" w:leader="dot" w:pos="9350"/>
            </w:tabs>
            <w:rPr>
              <w:rFonts w:eastAsiaTheme="minorEastAsia"/>
              <w:noProof/>
            </w:rPr>
          </w:pPr>
          <w:hyperlink w:anchor="_Toc242652896" w:history="1">
            <w:r w:rsidRPr="00FB1E09">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_Toc242652896 \h </w:instrText>
            </w:r>
            <w:r>
              <w:rPr>
                <w:noProof/>
                <w:webHidden/>
              </w:rPr>
            </w:r>
            <w:r>
              <w:rPr>
                <w:noProof/>
                <w:webHidden/>
              </w:rPr>
              <w:fldChar w:fldCharType="separate"/>
            </w:r>
            <w:r>
              <w:rPr>
                <w:noProof/>
                <w:webHidden/>
              </w:rPr>
              <w:t>13</w:t>
            </w:r>
            <w:r>
              <w:rPr>
                <w:noProof/>
                <w:webHidden/>
              </w:rPr>
              <w:fldChar w:fldCharType="end"/>
            </w:r>
          </w:hyperlink>
        </w:p>
        <w:p w14:paraId="7887FF9B" w14:textId="209DA7D1" w:rsidR="00404418" w:rsidRPr="003A2146" w:rsidRDefault="00404418">
          <w:pPr>
            <w:rPr>
              <w:rFonts w:ascii="Calibri" w:hAnsi="Calibri" w:cs="Calibri"/>
            </w:rPr>
          </w:pPr>
          <w:r w:rsidRPr="003A2146">
            <w:rPr>
              <w:rFonts w:ascii="Calibri" w:hAnsi="Calibri" w:cs="Calibri"/>
              <w:b/>
              <w:bCs/>
              <w:noProof/>
            </w:rPr>
            <w:fldChar w:fldCharType="end"/>
          </w:r>
        </w:p>
      </w:sdtContent>
    </w:sdt>
    <w:p w14:paraId="2A58943A" w14:textId="77777777" w:rsidR="00404418" w:rsidRPr="003A2146" w:rsidRDefault="00404418" w:rsidP="00404418">
      <w:pPr>
        <w:rPr>
          <w:rFonts w:ascii="Calibri" w:hAnsi="Calibri" w:cs="Calibri"/>
          <w:sz w:val="20"/>
          <w:szCs w:val="20"/>
        </w:rPr>
      </w:pPr>
    </w:p>
    <w:p w14:paraId="5C5E1895" w14:textId="77777777" w:rsidR="00404418" w:rsidRPr="003A2146" w:rsidRDefault="00404418" w:rsidP="00404418">
      <w:pPr>
        <w:rPr>
          <w:rFonts w:ascii="Calibri" w:hAnsi="Calibri" w:cs="Calibri"/>
          <w:sz w:val="20"/>
          <w:szCs w:val="20"/>
        </w:rPr>
      </w:pPr>
    </w:p>
    <w:p w14:paraId="74664122" w14:textId="77777777" w:rsidR="0072463F" w:rsidRPr="003A2146" w:rsidRDefault="0072463F" w:rsidP="00404418">
      <w:pPr>
        <w:rPr>
          <w:rFonts w:ascii="Calibri" w:hAnsi="Calibri" w:cs="Calibri"/>
          <w:sz w:val="20"/>
          <w:szCs w:val="20"/>
        </w:rPr>
      </w:pPr>
    </w:p>
    <w:p w14:paraId="7E65FE8A" w14:textId="77777777" w:rsidR="0072463F" w:rsidRPr="003A2146" w:rsidRDefault="0072463F" w:rsidP="00404418">
      <w:pPr>
        <w:rPr>
          <w:rFonts w:ascii="Calibri" w:hAnsi="Calibri" w:cs="Calibri"/>
          <w:sz w:val="20"/>
          <w:szCs w:val="20"/>
        </w:rPr>
      </w:pPr>
    </w:p>
    <w:p w14:paraId="043168A5" w14:textId="77777777" w:rsidR="0072463F" w:rsidRPr="003A2146" w:rsidRDefault="0072463F" w:rsidP="00404418">
      <w:pPr>
        <w:rPr>
          <w:rFonts w:ascii="Calibri" w:hAnsi="Calibri" w:cs="Calibri"/>
          <w:sz w:val="20"/>
          <w:szCs w:val="20"/>
        </w:rPr>
      </w:pPr>
    </w:p>
    <w:p w14:paraId="60C9CED0" w14:textId="77777777" w:rsidR="0072463F" w:rsidRPr="003A2146" w:rsidRDefault="0072463F" w:rsidP="00404418">
      <w:pPr>
        <w:rPr>
          <w:rFonts w:ascii="Calibri" w:hAnsi="Calibri" w:cs="Calibri"/>
          <w:sz w:val="20"/>
          <w:szCs w:val="20"/>
        </w:rPr>
      </w:pPr>
    </w:p>
    <w:p w14:paraId="305B105A" w14:textId="77777777" w:rsidR="0072463F" w:rsidRPr="003A2146" w:rsidRDefault="0072463F" w:rsidP="00404418">
      <w:pPr>
        <w:rPr>
          <w:rFonts w:ascii="Calibri" w:hAnsi="Calibri" w:cs="Calibri"/>
          <w:sz w:val="20"/>
          <w:szCs w:val="20"/>
        </w:rPr>
      </w:pPr>
    </w:p>
    <w:p w14:paraId="7A315C34" w14:textId="77777777" w:rsidR="0072463F" w:rsidRPr="003A2146" w:rsidRDefault="0072463F" w:rsidP="00404418">
      <w:pPr>
        <w:rPr>
          <w:rFonts w:ascii="Calibri" w:hAnsi="Calibri" w:cs="Calibri"/>
          <w:sz w:val="20"/>
          <w:szCs w:val="20"/>
        </w:rPr>
      </w:pPr>
    </w:p>
    <w:p w14:paraId="0C5F31A0" w14:textId="77777777" w:rsidR="0072463F" w:rsidRPr="003A2146" w:rsidRDefault="0072463F" w:rsidP="00404418">
      <w:pPr>
        <w:rPr>
          <w:rFonts w:ascii="Calibri" w:hAnsi="Calibri" w:cs="Calibri"/>
          <w:sz w:val="20"/>
          <w:szCs w:val="20"/>
        </w:rPr>
      </w:pPr>
    </w:p>
    <w:p w14:paraId="779905E5" w14:textId="77777777" w:rsidR="0072463F" w:rsidRPr="003A2146" w:rsidRDefault="0072463F" w:rsidP="00404418">
      <w:pPr>
        <w:rPr>
          <w:rFonts w:ascii="Calibri" w:hAnsi="Calibri" w:cs="Calibri"/>
          <w:sz w:val="20"/>
          <w:szCs w:val="20"/>
        </w:rPr>
      </w:pPr>
    </w:p>
    <w:p w14:paraId="0352CE58" w14:textId="77777777" w:rsidR="0072463F" w:rsidRPr="003A2146" w:rsidRDefault="0072463F" w:rsidP="00404418">
      <w:pPr>
        <w:rPr>
          <w:rFonts w:ascii="Calibri" w:hAnsi="Calibri" w:cs="Calibri"/>
          <w:sz w:val="20"/>
          <w:szCs w:val="20"/>
        </w:rPr>
      </w:pPr>
    </w:p>
    <w:p w14:paraId="3906B679" w14:textId="04C7EA64" w:rsidR="0072463F" w:rsidRPr="003A2146" w:rsidRDefault="0072463F" w:rsidP="0072463F">
      <w:pPr>
        <w:pStyle w:val="Heading1"/>
        <w:rPr>
          <w:rFonts w:ascii="Calibri" w:hAnsi="Calibri" w:cs="Calibri"/>
        </w:rPr>
      </w:pPr>
      <w:bookmarkStart w:id="0" w:name="_Toc242652882"/>
      <w:r w:rsidRPr="003A2146">
        <w:rPr>
          <w:rFonts w:ascii="Calibri" w:hAnsi="Calibri" w:cs="Calibri"/>
        </w:rPr>
        <w:lastRenderedPageBreak/>
        <w:t>Executive Summary</w:t>
      </w:r>
      <w:bookmarkEnd w:id="0"/>
    </w:p>
    <w:p w14:paraId="44659AA8" w14:textId="77777777" w:rsidR="0072463F" w:rsidRPr="003A2146" w:rsidRDefault="0072463F" w:rsidP="0072463F">
      <w:pPr>
        <w:jc w:val="both"/>
        <w:rPr>
          <w:rFonts w:ascii="Calibri" w:hAnsi="Calibri" w:cs="Calibri"/>
        </w:rPr>
      </w:pPr>
      <w:r w:rsidRPr="003A2146">
        <w:rPr>
          <w:rFonts w:ascii="Calibri" w:hAnsi="Calibri" w:cs="Calibri"/>
        </w:rPr>
        <w:t>Artificial intelligence (AI) is developing faster than the guidelines intended to govern it. This report examines whether the Australian Government’s voluntary Guidance for AI Adoption can remain flexible enough to capture new and emerging forms of high-risk AI, including general-purpose AI (GPAI) and artificial general intelligence (AGI). The question is important because GPAI can be applied to purposes that its developers never anticipated, and AGI, although still theoretical, may require a fundamentally different regulatory approach. Four key issues underpin the question. The first is whether the Guidance adequately covers GPAI. The second is whether a voluntary document can be flexible when nothing requires organisations to follow it. The third is whether binding, tiered legislation such as the European Union (EU) AI Act performs any better. The fourth is whether the Guidance is prepared for AGI.</w:t>
      </w:r>
    </w:p>
    <w:p w14:paraId="08EAF5CD" w14:textId="77777777" w:rsidR="0072463F" w:rsidRPr="003A2146" w:rsidRDefault="0072463F" w:rsidP="0072463F">
      <w:pPr>
        <w:jc w:val="both"/>
        <w:rPr>
          <w:rFonts w:ascii="Calibri" w:hAnsi="Calibri" w:cs="Calibri"/>
        </w:rPr>
      </w:pPr>
      <w:r w:rsidRPr="003A2146">
        <w:rPr>
          <w:rFonts w:ascii="Calibri" w:hAnsi="Calibri" w:cs="Calibri"/>
        </w:rPr>
        <w:t>The report concludes that the answer is a qualified no. The Guidance recognises GPAI and links some of its duties to a model’s capabilities. However, it leaves risk classification to each organisation, does not define high-risk AI, and makes no mention of AGI. Because the Guidance is voluntary, even its strongest provisions are effective only if organisations choose to apply them. Binding law is not a complete solution either, since fewer than a third of the EU AI Act’s high-risk requirements address AI-specific risks. Australia’s position also reflects a wider international pattern in which few GPAI rules are legally binding. To close these gaps, the report recommends defining high-risk AI and introducing a capability-based tier, directing new duties towards AI-specific risks, attaching oversight to the Guidance, and establishing a separate review process for AGI.</w:t>
      </w:r>
    </w:p>
    <w:p w14:paraId="00852B26" w14:textId="77777777" w:rsidR="0072463F" w:rsidRPr="003A2146" w:rsidRDefault="0072463F" w:rsidP="0072463F">
      <w:pPr>
        <w:rPr>
          <w:rFonts w:ascii="Calibri" w:hAnsi="Calibri" w:cs="Calibri"/>
        </w:rPr>
      </w:pPr>
    </w:p>
    <w:p w14:paraId="191D0048" w14:textId="77777777" w:rsidR="00404418" w:rsidRPr="003A2146" w:rsidRDefault="00404418" w:rsidP="00404418">
      <w:pPr>
        <w:rPr>
          <w:rFonts w:ascii="Calibri" w:hAnsi="Calibri" w:cs="Calibri"/>
          <w:sz w:val="20"/>
          <w:szCs w:val="20"/>
        </w:rPr>
      </w:pPr>
    </w:p>
    <w:p w14:paraId="14F6B9E2" w14:textId="77777777" w:rsidR="00404418" w:rsidRPr="003A2146" w:rsidRDefault="00404418" w:rsidP="00404418">
      <w:pPr>
        <w:rPr>
          <w:rFonts w:ascii="Calibri" w:hAnsi="Calibri" w:cs="Calibri"/>
          <w:sz w:val="20"/>
          <w:szCs w:val="20"/>
        </w:rPr>
      </w:pPr>
    </w:p>
    <w:p w14:paraId="170FBE31" w14:textId="77777777" w:rsidR="00404418" w:rsidRPr="003A2146" w:rsidRDefault="00404418" w:rsidP="00404418">
      <w:pPr>
        <w:rPr>
          <w:rFonts w:ascii="Calibri" w:hAnsi="Calibri" w:cs="Calibri"/>
          <w:sz w:val="20"/>
          <w:szCs w:val="20"/>
        </w:rPr>
      </w:pPr>
    </w:p>
    <w:p w14:paraId="486A94B0" w14:textId="77777777" w:rsidR="00404418" w:rsidRPr="003A2146" w:rsidRDefault="00404418" w:rsidP="00404418">
      <w:pPr>
        <w:rPr>
          <w:rFonts w:ascii="Calibri" w:hAnsi="Calibri" w:cs="Calibri"/>
          <w:sz w:val="20"/>
          <w:szCs w:val="20"/>
        </w:rPr>
      </w:pPr>
    </w:p>
    <w:p w14:paraId="2804352E" w14:textId="77777777" w:rsidR="00404418" w:rsidRPr="003A2146" w:rsidRDefault="00404418" w:rsidP="00404418">
      <w:pPr>
        <w:rPr>
          <w:rFonts w:ascii="Calibri" w:hAnsi="Calibri" w:cs="Calibri"/>
          <w:sz w:val="20"/>
          <w:szCs w:val="20"/>
        </w:rPr>
      </w:pPr>
    </w:p>
    <w:p w14:paraId="6704FCB3" w14:textId="77777777" w:rsidR="00404418" w:rsidRPr="003A2146" w:rsidRDefault="00404418" w:rsidP="00404418">
      <w:pPr>
        <w:rPr>
          <w:rFonts w:ascii="Calibri" w:hAnsi="Calibri" w:cs="Calibri"/>
          <w:sz w:val="20"/>
          <w:szCs w:val="20"/>
        </w:rPr>
      </w:pPr>
    </w:p>
    <w:p w14:paraId="59CFCCCB" w14:textId="77777777" w:rsidR="00404418" w:rsidRPr="003A2146" w:rsidRDefault="00404418" w:rsidP="00404418">
      <w:pPr>
        <w:rPr>
          <w:rFonts w:ascii="Calibri" w:hAnsi="Calibri" w:cs="Calibri"/>
          <w:sz w:val="20"/>
          <w:szCs w:val="20"/>
        </w:rPr>
      </w:pPr>
    </w:p>
    <w:p w14:paraId="4F263A14" w14:textId="77777777" w:rsidR="00404418" w:rsidRPr="003A2146" w:rsidRDefault="00404418" w:rsidP="00404418">
      <w:pPr>
        <w:rPr>
          <w:rFonts w:ascii="Calibri" w:hAnsi="Calibri" w:cs="Calibri"/>
          <w:sz w:val="20"/>
          <w:szCs w:val="20"/>
        </w:rPr>
      </w:pPr>
    </w:p>
    <w:p w14:paraId="7B8653B2" w14:textId="27378083" w:rsidR="00CC5851" w:rsidRPr="003A2146" w:rsidRDefault="00404418" w:rsidP="00404418">
      <w:pPr>
        <w:pStyle w:val="Heading1"/>
        <w:jc w:val="both"/>
        <w:rPr>
          <w:rFonts w:ascii="Calibri" w:hAnsi="Calibri" w:cs="Calibri"/>
        </w:rPr>
      </w:pPr>
      <w:bookmarkStart w:id="1" w:name="_Toc242652883"/>
      <w:r w:rsidRPr="003A2146">
        <w:rPr>
          <w:rFonts w:ascii="Calibri" w:hAnsi="Calibri" w:cs="Calibri"/>
        </w:rPr>
        <w:lastRenderedPageBreak/>
        <w:t xml:space="preserve">1. </w:t>
      </w:r>
      <w:r w:rsidR="00CC5851" w:rsidRPr="003A2146">
        <w:rPr>
          <w:rFonts w:ascii="Calibri" w:hAnsi="Calibri" w:cs="Calibri"/>
        </w:rPr>
        <w:t>Introduction</w:t>
      </w:r>
      <w:bookmarkEnd w:id="1"/>
    </w:p>
    <w:p w14:paraId="18F6AE4A" w14:textId="77777777" w:rsidR="008A6237" w:rsidRPr="003A2146" w:rsidRDefault="008A6237" w:rsidP="00375691">
      <w:pPr>
        <w:pStyle w:val="Heading2"/>
        <w:jc w:val="both"/>
        <w:rPr>
          <w:rFonts w:ascii="Calibri" w:hAnsi="Calibri" w:cs="Calibri"/>
        </w:rPr>
      </w:pPr>
      <w:bookmarkStart w:id="2" w:name="_Toc242652884"/>
      <w:r w:rsidRPr="003A2146">
        <w:rPr>
          <w:rFonts w:ascii="Calibri" w:hAnsi="Calibri" w:cs="Calibri"/>
        </w:rPr>
        <w:t>1.1 Background: AI Ethics Guidelines and the Emergence of GPAI</w:t>
      </w:r>
      <w:bookmarkEnd w:id="2"/>
    </w:p>
    <w:p w14:paraId="77F60331" w14:textId="186B6DE5" w:rsidR="00D33210"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AI ethics guidelines have multiplied since the late 2010s, as governments, companies and international bodies try to steer AI toward outcomes that are safe, fair and beneficial. The difficulty is that these guidelines are usually broad, technology-neutral principles, while the systems they govern change faster than any policy cycle. Hagendorff examined 22 major AI ethics guidelines and found that they tend to stay abstract, voluntary and disconnected from how AI is actually built, with little evidence that they change what developers do </w:t>
      </w:r>
      <w:hyperlink w:anchor="ref1" w:history="1">
        <w:r w:rsidRPr="003A2146">
          <w:rPr>
            <w:rFonts w:ascii="Calibri" w:eastAsia="Times New Roman" w:hAnsi="Calibri" w:cs="Calibri"/>
          </w:rPr>
          <w:t>[1]</w:t>
        </w:r>
      </w:hyperlink>
      <w:r w:rsidRPr="003A2146">
        <w:rPr>
          <w:rFonts w:ascii="Calibri" w:eastAsia="Times New Roman" w:hAnsi="Calibri" w:cs="Calibri"/>
        </w:rPr>
        <w:t xml:space="preserve">. This gap grows with general-purpose AI (GPAI), meaning systems developed to handle a broad range of tasks rather than one fixed function. They can be applied to uses their developers never anticipated, unlike narrow AI or conventional software built for one purpose </w:t>
      </w:r>
      <w:hyperlink w:anchor="ref2" w:history="1">
        <w:r w:rsidRPr="003A2146">
          <w:rPr>
            <w:rFonts w:ascii="Calibri" w:eastAsia="Times New Roman" w:hAnsi="Calibri" w:cs="Calibri"/>
          </w:rPr>
          <w:t>[2]</w:t>
        </w:r>
      </w:hyperlink>
      <w:r w:rsidRPr="003A2146">
        <w:rPr>
          <w:rFonts w:ascii="Calibri" w:eastAsia="Times New Roman" w:hAnsi="Calibri" w:cs="Calibri"/>
        </w:rPr>
        <w:t>. It grows further with artificial general intelligence (AGI), a more advanced and still largely theoretical category of AI: systems capable of human-level reasoning and problem-solving across virtually any domain. AGI remains speculative, but it is increasingly discussed as a near-term possibility.</w:t>
      </w:r>
    </w:p>
    <w:p w14:paraId="33E5761F" w14:textId="77777777" w:rsidR="00D33210" w:rsidRPr="003A2146" w:rsidRDefault="00D33210" w:rsidP="00375691">
      <w:pPr>
        <w:pStyle w:val="Heading2"/>
        <w:jc w:val="both"/>
        <w:rPr>
          <w:rFonts w:ascii="Calibri" w:hAnsi="Calibri" w:cs="Calibri"/>
        </w:rPr>
      </w:pPr>
      <w:bookmarkStart w:id="3" w:name="_Toc242652885"/>
      <w:r w:rsidRPr="003A2146">
        <w:rPr>
          <w:rFonts w:ascii="Calibri" w:hAnsi="Calibri" w:cs="Calibri"/>
        </w:rPr>
        <w:t>1.2 Key Issues: The Australian Policy Context and the Research Problem</w:t>
      </w:r>
      <w:bookmarkEnd w:id="3"/>
    </w:p>
    <w:p w14:paraId="0B1BFC7A"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Australia offers a useful case study. In October 2025, the National AI Centre replaced its 2024 Voluntary AI Safety Standard with the Guidance for AI Adoption, built around six core practices for responsible AI governance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The Guidance separates narrow AI from GPAI and admits that GPAI, particularly frontier AI, is “highly complex and not fully understood, even by their developers,” with capabilities that may be “unknown or emergent”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It adds some GPAI-specific requirements, such as safety testing that scales with a model’s capabilities. What it does not do is set a formal risk tier for such systems, and it never mentions AGI. This is a real gap, because a September 2024 proposals paper had already set out ten mandatory guardrails and a working definition of high-risk AI </w:t>
      </w:r>
      <w:hyperlink w:anchor="ref4" w:history="1">
        <w:r w:rsidRPr="003A2146">
          <w:rPr>
            <w:rFonts w:ascii="Calibri" w:eastAsia="Times New Roman" w:hAnsi="Calibri" w:cs="Calibri"/>
          </w:rPr>
          <w:t>[4]</w:t>
        </w:r>
      </w:hyperlink>
      <w:r w:rsidRPr="003A2146">
        <w:rPr>
          <w:rFonts w:ascii="Calibri" w:eastAsia="Times New Roman" w:hAnsi="Calibri" w:cs="Calibri"/>
        </w:rPr>
        <w:t xml:space="preserve">. The December 2025 National AI Plan then set those guardrails aside and relied instead on existing laws, voluntary guidance and an AI Safety Institute that monitors, tests and advises </w:t>
      </w:r>
      <w:hyperlink w:anchor="ref5" w:history="1">
        <w:r w:rsidRPr="003A2146">
          <w:rPr>
            <w:rFonts w:ascii="Calibri" w:eastAsia="Times New Roman" w:hAnsi="Calibri" w:cs="Calibri"/>
          </w:rPr>
          <w:t>[5]</w:t>
        </w:r>
      </w:hyperlink>
      <w:r w:rsidRPr="003A2146">
        <w:rPr>
          <w:rFonts w:ascii="Calibri" w:eastAsia="Times New Roman" w:hAnsi="Calibri" w:cs="Calibri"/>
        </w:rPr>
        <w:t>.</w:t>
      </w:r>
    </w:p>
    <w:p w14:paraId="3AD27D04" w14:textId="77AC75C0" w:rsidR="00D33210" w:rsidRPr="003A2146" w:rsidRDefault="003A2146" w:rsidP="003A2146">
      <w:pPr>
        <w:jc w:val="both"/>
        <w:rPr>
          <w:rFonts w:ascii="Calibri" w:hAnsi="Calibri" w:cs="Calibri"/>
        </w:rPr>
      </w:pPr>
      <w:r w:rsidRPr="003A2146">
        <w:rPr>
          <w:rFonts w:ascii="Calibri" w:eastAsia="Times New Roman" w:hAnsi="Calibri" w:cs="Calibri"/>
        </w:rPr>
        <w:t xml:space="preserve">This report therefore asks: can the government’s voluntary Guidance remain flexible enough to keep pace with GPAI and AGI? Three points make the question worth asking. First, GPAI is hard to place in a fixed risk category, since its capabilities are not settled at the point of deployment </w:t>
      </w:r>
      <w:hyperlink w:anchor="ref2" w:history="1">
        <w:r w:rsidRPr="003A2146">
          <w:rPr>
            <w:rFonts w:ascii="Calibri" w:eastAsia="Times New Roman" w:hAnsi="Calibri" w:cs="Calibri"/>
          </w:rPr>
          <w:t>[2]</w:t>
        </w:r>
      </w:hyperlink>
      <w:r w:rsidRPr="003A2146">
        <w:rPr>
          <w:rFonts w:ascii="Calibri" w:eastAsia="Times New Roman" w:hAnsi="Calibri" w:cs="Calibri"/>
        </w:rPr>
        <w:t xml:space="preserve">, </w:t>
      </w:r>
      <w:hyperlink w:anchor="ref6" w:history="1">
        <w:r w:rsidRPr="003A2146">
          <w:rPr>
            <w:rFonts w:ascii="Calibri" w:eastAsia="Times New Roman" w:hAnsi="Calibri" w:cs="Calibri"/>
          </w:rPr>
          <w:t>[6]</w:t>
        </w:r>
      </w:hyperlink>
      <w:r w:rsidRPr="003A2146">
        <w:rPr>
          <w:rFonts w:ascii="Calibri" w:eastAsia="Times New Roman" w:hAnsi="Calibri" w:cs="Calibri"/>
        </w:rPr>
        <w:t xml:space="preserve">. Second, even binding, tiered law has not solved this. An analysis of the EU AI Act found that fewer than a third of its high-risk requirements address AI-specific risks, and the majority impose process and documentation duties </w:t>
      </w:r>
      <w:hyperlink w:anchor="ref7" w:history="1">
        <w:r w:rsidRPr="003A2146">
          <w:rPr>
            <w:rFonts w:ascii="Calibri" w:eastAsia="Times New Roman" w:hAnsi="Calibri" w:cs="Calibri"/>
          </w:rPr>
          <w:t>[7]</w:t>
        </w:r>
      </w:hyperlink>
      <w:r w:rsidRPr="003A2146">
        <w:rPr>
          <w:rFonts w:ascii="Calibri" w:eastAsia="Times New Roman" w:hAnsi="Calibri" w:cs="Calibri"/>
        </w:rPr>
        <w:t>. Third, Australia is not unusual. Across twenty “AI middle-</w:t>
      </w:r>
      <w:r w:rsidRPr="003A2146">
        <w:rPr>
          <w:rFonts w:ascii="Calibri" w:eastAsia="Times New Roman" w:hAnsi="Calibri" w:cs="Calibri"/>
        </w:rPr>
        <w:lastRenderedPageBreak/>
        <w:t xml:space="preserve">power” jurisdictions, only about one in five GPAI-related provisions are binding, and three quarters of the binding instruments do not define GPAI </w:t>
      </w:r>
      <w:hyperlink w:anchor="ref8" w:history="1">
        <w:r w:rsidRPr="003A2146">
          <w:rPr>
            <w:rFonts w:ascii="Calibri" w:eastAsia="Times New Roman" w:hAnsi="Calibri" w:cs="Calibri"/>
          </w:rPr>
          <w:t>[8]</w:t>
        </w:r>
      </w:hyperlink>
      <w:r w:rsidRPr="003A2146">
        <w:rPr>
          <w:rFonts w:ascii="Calibri" w:eastAsia="Times New Roman" w:hAnsi="Calibri" w:cs="Calibri"/>
        </w:rPr>
        <w:t>. This report argues that because the Guidance is voluntary, it can only partly remain flexible enough to capture new and emerging high-risk AI: it recognises GPAI and scales some duties to capability, but it has no defined high-risk tier, makes no mention of AGI, and nothing makes organisations follow it.</w:t>
      </w:r>
    </w:p>
    <w:p w14:paraId="3812C5AA" w14:textId="5419364E" w:rsidR="00D33210" w:rsidRPr="003A2146" w:rsidRDefault="00D33210" w:rsidP="00375691">
      <w:pPr>
        <w:pStyle w:val="Heading2"/>
        <w:jc w:val="both"/>
        <w:rPr>
          <w:rFonts w:ascii="Calibri" w:hAnsi="Calibri" w:cs="Calibri"/>
        </w:rPr>
      </w:pPr>
      <w:bookmarkStart w:id="4" w:name="_Toc242652886"/>
      <w:r w:rsidRPr="003A2146">
        <w:rPr>
          <w:rFonts w:ascii="Calibri" w:hAnsi="Calibri" w:cs="Calibri"/>
        </w:rPr>
        <w:t>1.3 Methodology and Scope of Research</w:t>
      </w:r>
      <w:bookmarkEnd w:id="4"/>
    </w:p>
    <w:p w14:paraId="4335E1F9" w14:textId="544CB6B9" w:rsidR="00D33210" w:rsidRPr="003A2146" w:rsidRDefault="003A2146" w:rsidP="00375691">
      <w:pPr>
        <w:jc w:val="both"/>
        <w:rPr>
          <w:rFonts w:ascii="Calibri" w:hAnsi="Calibri" w:cs="Calibri"/>
        </w:rPr>
      </w:pPr>
      <w:r w:rsidRPr="003A2146">
        <w:rPr>
          <w:rFonts w:ascii="Calibri" w:eastAsia="Times New Roman" w:hAnsi="Calibri" w:cs="Calibri"/>
        </w:rPr>
        <w:t xml:space="preserve">This report treats the Guidance as its main case study and applies Hagendorff’s framework to ask whether it carries any enforcement capacity, whether it is likely to change developer behaviour, and whether its principles are technically concrete. Malaysia’s National Guidelines on AI Governance &amp; Ethics </w:t>
      </w:r>
      <w:hyperlink w:anchor="ref9" w:history="1">
        <w:r w:rsidRPr="003A2146">
          <w:rPr>
            <w:rFonts w:ascii="Calibri" w:eastAsia="Times New Roman" w:hAnsi="Calibri" w:cs="Calibri"/>
          </w:rPr>
          <w:t>[9]</w:t>
        </w:r>
      </w:hyperlink>
      <w:r w:rsidRPr="003A2146">
        <w:rPr>
          <w:rFonts w:ascii="Calibri" w:eastAsia="Times New Roman" w:hAnsi="Calibri" w:cs="Calibri"/>
        </w:rPr>
        <w:t>, a similarly voluntary guideline at an earlier stage on GPAI, serve as a comparison. The report also draws on peer-reviewed work on GPAI governance and soft law, documented AI incidents, and Australian policy documents from 2025 to 2026. The scope is deliberately narrow. Australia is used as one worked example of a wider problem: voluntary, principle-based guidance struggles to keep pace with systems whose future capabilities cannot be fully determined in advance</w:t>
      </w:r>
      <w:r w:rsidR="00B5307D" w:rsidRPr="003A2146">
        <w:rPr>
          <w:rFonts w:ascii="Calibri" w:hAnsi="Calibri" w:cs="Calibri"/>
        </w:rPr>
        <w:t>.</w:t>
      </w:r>
    </w:p>
    <w:p w14:paraId="6586F7AB" w14:textId="77777777" w:rsidR="00375691" w:rsidRPr="003A2146" w:rsidRDefault="00375691" w:rsidP="00404418">
      <w:pPr>
        <w:pStyle w:val="Heading1"/>
        <w:rPr>
          <w:rFonts w:ascii="Calibri" w:hAnsi="Calibri" w:cs="Calibri"/>
        </w:rPr>
      </w:pPr>
      <w:bookmarkStart w:id="5" w:name="_Toc242652887"/>
      <w:r w:rsidRPr="003A2146">
        <w:rPr>
          <w:rFonts w:ascii="Calibri" w:hAnsi="Calibri" w:cs="Calibri"/>
        </w:rPr>
        <w:t>2. Findings</w:t>
      </w:r>
      <w:bookmarkEnd w:id="5"/>
    </w:p>
    <w:p w14:paraId="05D83962" w14:textId="77777777" w:rsidR="00375691" w:rsidRPr="003A2146" w:rsidRDefault="00375691" w:rsidP="00404418">
      <w:pPr>
        <w:pStyle w:val="Heading2"/>
        <w:rPr>
          <w:rFonts w:ascii="Calibri" w:hAnsi="Calibri" w:cs="Calibri"/>
        </w:rPr>
      </w:pPr>
      <w:bookmarkStart w:id="6" w:name="_Toc242652888"/>
      <w:r w:rsidRPr="003A2146">
        <w:rPr>
          <w:rFonts w:ascii="Calibri" w:hAnsi="Calibri" w:cs="Calibri"/>
        </w:rPr>
        <w:t>2.1 Does the Guidance Capture GPAI as an Emerging Form of High-Risk AI?</w:t>
      </w:r>
      <w:bookmarkEnd w:id="6"/>
    </w:p>
    <w:p w14:paraId="2734AD8F"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This is the most direct way to test the question: when a genuinely new, high-risk type of AI (GPAI) emerged, did the Guidance keep pace with it? Only partly. Australia’s Guidance for AI Adoption is not silent on general-purpose AI. Its Implementation Practices document draws a clear line between narrow AI, built for one specific task, and GPAI systems, which are “developed to handle a broad range of tasks” and are therefore “flexible” and “more easily used for purposes their developers may not have considered”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That flexibility is exactly what makes GPAI difficult to govern with a fixed set of rules. Triguero et al. describe GPAI systems as able to take on a wide range of tasks they were never specifically designed for </w:t>
      </w:r>
      <w:hyperlink w:anchor="ref6" w:history="1">
        <w:r w:rsidRPr="003A2146">
          <w:rPr>
            <w:rFonts w:ascii="Calibri" w:eastAsia="Times New Roman" w:hAnsi="Calibri" w:cs="Calibri"/>
          </w:rPr>
          <w:t>[6]</w:t>
        </w:r>
      </w:hyperlink>
      <w:r w:rsidRPr="003A2146">
        <w:rPr>
          <w:rFonts w:ascii="Calibri" w:eastAsia="Times New Roman" w:hAnsi="Calibri" w:cs="Calibri"/>
        </w:rPr>
        <w:t xml:space="preserve">, so a guideline’s risk assumptions can be overtaken by a use case nobody foresaw. The Guidance itself admits part of this problem, noting that GPAI, and frontier AI in particular, can amplify risk because these systems are “highly complex and not fully understood, even by their developers,” with capabilities that may be “unknown or emergent” </w:t>
      </w:r>
      <w:hyperlink w:anchor="ref3" w:history="1">
        <w:r w:rsidRPr="003A2146">
          <w:rPr>
            <w:rFonts w:ascii="Calibri" w:eastAsia="Times New Roman" w:hAnsi="Calibri" w:cs="Calibri"/>
          </w:rPr>
          <w:t>[3]</w:t>
        </w:r>
      </w:hyperlink>
      <w:r w:rsidRPr="003A2146">
        <w:rPr>
          <w:rFonts w:ascii="Calibri" w:eastAsia="Times New Roman" w:hAnsi="Calibri" w:cs="Calibri"/>
        </w:rPr>
        <w:t>.</w:t>
      </w:r>
    </w:p>
    <w:p w14:paraId="2AF2FCF9"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On this basis, the Guidance introduces several GPAI-specific obligations. Safety evaluations must “scale with model capabilities,” including assessment of chemical, biological, radiological and </w:t>
      </w:r>
      <w:r w:rsidRPr="003A2146">
        <w:rPr>
          <w:rFonts w:ascii="Calibri" w:eastAsia="Times New Roman" w:hAnsi="Calibri" w:cs="Calibri"/>
        </w:rPr>
        <w:lastRenderedPageBreak/>
        <w:t xml:space="preserve">nuclear (CBRN) risk and jailbreaking resistance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Transparency mechanisms must be proportionate to “the risks arising from the diverse, evolving, and alternative uses of GPAI”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Developers are asked to share training-data sources and compliance information with downstream deployers, as far as commercial sensitivity allows, and to build mechanisms such as capability evaluation, pause functions and dynamic guardrails to address systemic risks and emerging capabilities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The Guidance extends the same logic to open-source models, asking organisations to consider risk from both the provider’s and the user’s perspective, since responsibility for a GPAI system’s behaviour cannot rest only with whoever deploys it </w:t>
      </w:r>
      <w:hyperlink w:anchor="ref3" w:history="1">
        <w:r w:rsidRPr="003A2146">
          <w:rPr>
            <w:rFonts w:ascii="Calibri" w:eastAsia="Times New Roman" w:hAnsi="Calibri" w:cs="Calibri"/>
          </w:rPr>
          <w:t>[3]</w:t>
        </w:r>
      </w:hyperlink>
      <w:r w:rsidRPr="003A2146">
        <w:rPr>
          <w:rFonts w:ascii="Calibri" w:eastAsia="Times New Roman" w:hAnsi="Calibri" w:cs="Calibri"/>
        </w:rPr>
        <w:t>. These provisions show that the Guidance’s authors understood GPAI risk well; the weakness lies in how the Guidance is built, not in what it recognises. It is also worth remembering that every one of these duties is voluntary. No organisation is legally required to carry out a CBRN evaluation or share a model card, so the Guidance’s awareness of GPAI depends entirely on organisations choosing to act on it.</w:t>
      </w:r>
    </w:p>
    <w:p w14:paraId="46DFB4DF"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This is where flexibility ends, however. The Guidance’s six core practices, accountability, impact assessment, risk management, transparency, testing, and human control, apply to every AI system, with the GPAI-specific provisions added as an extra layer rather than forming a separate category. It does give organisations screening questions about a system’s purpose, context, data, autonomy and design, and it notes that GPAI systems can carry higher risk than narrow AI or traditional software built for the same task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But these are prompts for each organisation’s own triage process, which must identify systems posing “enhanced or unacceptable risk” </w:t>
      </w:r>
      <w:hyperlink w:anchor="ref3" w:history="1">
        <w:r w:rsidRPr="003A2146">
          <w:rPr>
            <w:rFonts w:ascii="Calibri" w:eastAsia="Times New Roman" w:hAnsi="Calibri" w:cs="Calibri"/>
          </w:rPr>
          <w:t>[3]</w:t>
        </w:r>
      </w:hyperlink>
      <w:r w:rsidRPr="003A2146">
        <w:rPr>
          <w:rFonts w:ascii="Calibri" w:eastAsia="Times New Roman" w:hAnsi="Calibri" w:cs="Calibri"/>
        </w:rPr>
        <w:t>; they are not a defined tier. The Guidance never uses the term “high-risk AI” at all. Most notably, the terms “AGI” and “artificial general intelligence” do not appear anywhere in the document, so the newest and arguably most serious form of high-risk AI examined in this report is absent from Australia’s current approach.</w:t>
      </w:r>
    </w:p>
    <w:p w14:paraId="47742792" w14:textId="0F2AB5BE" w:rsidR="00375691" w:rsidRPr="003A2146" w:rsidRDefault="003A2146" w:rsidP="003A2146">
      <w:pPr>
        <w:jc w:val="both"/>
        <w:rPr>
          <w:rFonts w:ascii="Calibri" w:hAnsi="Calibri" w:cs="Calibri"/>
        </w:rPr>
      </w:pPr>
      <w:r w:rsidRPr="003A2146">
        <w:rPr>
          <w:rFonts w:ascii="Calibri" w:eastAsia="Times New Roman" w:hAnsi="Calibri" w:cs="Calibri"/>
        </w:rPr>
        <w:t xml:space="preserve">This is not an isolated gap. A September 2024 proposals paper had already set out ten mandatory guardrails and a working definition of high-risk AI </w:t>
      </w:r>
      <w:hyperlink w:anchor="ref4" w:history="1">
        <w:r w:rsidRPr="003A2146">
          <w:rPr>
            <w:rFonts w:ascii="Calibri" w:eastAsia="Times New Roman" w:hAnsi="Calibri" w:cs="Calibri"/>
          </w:rPr>
          <w:t>[4]</w:t>
        </w:r>
      </w:hyperlink>
      <w:r w:rsidRPr="003A2146">
        <w:rPr>
          <w:rFonts w:ascii="Calibri" w:eastAsia="Times New Roman" w:hAnsi="Calibri" w:cs="Calibri"/>
        </w:rPr>
        <w:t xml:space="preserve">, but that proposal was dropped in the December 2025 National AI Plan in favour of relying on existing law and voluntary guidance </w:t>
      </w:r>
      <w:hyperlink w:anchor="ref5" w:history="1">
        <w:r w:rsidRPr="003A2146">
          <w:rPr>
            <w:rFonts w:ascii="Calibri" w:eastAsia="Times New Roman" w:hAnsi="Calibri" w:cs="Calibri"/>
          </w:rPr>
          <w:t>[5]</w:t>
        </w:r>
      </w:hyperlink>
      <w:r w:rsidRPr="003A2146">
        <w:rPr>
          <w:rFonts w:ascii="Calibri" w:eastAsia="Times New Roman" w:hAnsi="Calibri" w:cs="Calibri"/>
        </w:rPr>
        <w:t xml:space="preserve">. The Government has since announced it will legislate AI standards, and a September 2026 consultation paper proposes binding safety expectations, but only for frontier labs authorised to train large models inside Australia. It also notes that Australia’s data-centre investment has so far not been for frontier AI training </w:t>
      </w:r>
      <w:hyperlink w:anchor="ref10" w:history="1">
        <w:r w:rsidRPr="003A2146">
          <w:rPr>
            <w:rFonts w:ascii="Calibri" w:eastAsia="Times New Roman" w:hAnsi="Calibri" w:cs="Calibri"/>
          </w:rPr>
          <w:t>[10]</w:t>
        </w:r>
      </w:hyperlink>
      <w:r w:rsidRPr="003A2146">
        <w:rPr>
          <w:rFonts w:ascii="Calibri" w:eastAsia="Times New Roman" w:hAnsi="Calibri" w:cs="Calibri"/>
        </w:rPr>
        <w:t>. On its face this would not reach GPAI built overseas and used by Australian organisations, which is who the Guidance speaks to. The one Australian instrument that attempted to formally define high-risk AI never became binding, and the instrument that replaced it was never designed to do that job</w:t>
      </w:r>
      <w:r w:rsidR="002153AA" w:rsidRPr="003A2146">
        <w:rPr>
          <w:rFonts w:ascii="Calibri" w:hAnsi="Calibri" w:cs="Calibri"/>
        </w:rPr>
        <w:t>.</w:t>
      </w:r>
    </w:p>
    <w:p w14:paraId="4E1EF05E" w14:textId="49164332" w:rsidR="00375691" w:rsidRPr="003A2146" w:rsidRDefault="00375691" w:rsidP="00404418">
      <w:pPr>
        <w:pStyle w:val="Heading2"/>
        <w:rPr>
          <w:rFonts w:ascii="Calibri" w:hAnsi="Calibri" w:cs="Calibri"/>
        </w:rPr>
      </w:pPr>
      <w:bookmarkStart w:id="7" w:name="_Toc242652889"/>
      <w:r w:rsidRPr="003A2146">
        <w:rPr>
          <w:rFonts w:ascii="Calibri" w:hAnsi="Calibri" w:cs="Calibri"/>
        </w:rPr>
        <w:lastRenderedPageBreak/>
        <w:t xml:space="preserve">2.2 Can a Voluntary Guideline Ever Be Flexible in Practice, Even </w:t>
      </w:r>
      <w:r w:rsidR="00404418" w:rsidRPr="003A2146">
        <w:rPr>
          <w:rFonts w:ascii="Calibri" w:hAnsi="Calibri" w:cs="Calibri"/>
        </w:rPr>
        <w:t>with</w:t>
      </w:r>
      <w:r w:rsidRPr="003A2146">
        <w:rPr>
          <w:rFonts w:ascii="Calibri" w:hAnsi="Calibri" w:cs="Calibri"/>
        </w:rPr>
        <w:t xml:space="preserve"> Good Intentions?</w:t>
      </w:r>
      <w:bookmarkEnd w:id="7"/>
    </w:p>
    <w:p w14:paraId="7DBD700D"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The Guidance’s voluntary status is the main reason its flexibility is limited, since flexibility on paper carries little weight when nothing requires organisations to use it. Hagendorff’s framework explains why. His review of 22 major AI ethics guidelines found they typically have no way of enforcing themselves: ignoring them carries no real consequence, and where ethics is built into an organisation, it often functions as what the AI Now Institute called a “trust us” form of corporate self-governance </w:t>
      </w:r>
      <w:hyperlink w:anchor="ref1" w:history="1">
        <w:r w:rsidRPr="003A2146">
          <w:rPr>
            <w:rFonts w:ascii="Calibri" w:eastAsia="Times New Roman" w:hAnsi="Calibri" w:cs="Calibri"/>
          </w:rPr>
          <w:t>[1]</w:t>
        </w:r>
      </w:hyperlink>
      <w:r w:rsidRPr="003A2146">
        <w:rPr>
          <w:rFonts w:ascii="Calibri" w:eastAsia="Times New Roman" w:hAnsi="Calibri" w:cs="Calibri"/>
        </w:rPr>
        <w:t xml:space="preserve">. A study he cites, covering 63 software engineering students and 105 professional developers, found no statistically significant difference in ethical decision-making between those who had and had not seen a code of ethics </w:t>
      </w:r>
      <w:hyperlink w:anchor="ref1" w:history="1">
        <w:r w:rsidRPr="003A2146">
          <w:rPr>
            <w:rFonts w:ascii="Calibri" w:eastAsia="Times New Roman" w:hAnsi="Calibri" w:cs="Calibri"/>
          </w:rPr>
          <w:t>[1]</w:t>
        </w:r>
      </w:hyperlink>
      <w:r w:rsidRPr="003A2146">
        <w:rPr>
          <w:rFonts w:ascii="Calibri" w:eastAsia="Times New Roman" w:hAnsi="Calibri" w:cs="Calibri"/>
        </w:rPr>
        <w:t xml:space="preserve">. He puts this down to structure: AI development is driven overwhelmingly by economic logic, and engineers are rarely trained in ethical reasoning or given the organisational standing to raise concerns </w:t>
      </w:r>
      <w:hyperlink w:anchor="ref1" w:history="1">
        <w:r w:rsidRPr="003A2146">
          <w:rPr>
            <w:rFonts w:ascii="Calibri" w:eastAsia="Times New Roman" w:hAnsi="Calibri" w:cs="Calibri"/>
          </w:rPr>
          <w:t>[1]</w:t>
        </w:r>
      </w:hyperlink>
      <w:r w:rsidRPr="003A2146">
        <w:rPr>
          <w:rFonts w:ascii="Calibri" w:eastAsia="Times New Roman" w:hAnsi="Calibri" w:cs="Calibri"/>
        </w:rPr>
        <w:t>.</w:t>
      </w:r>
    </w:p>
    <w:p w14:paraId="67809390"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The Guidance’s own evidence points the same way. It reports that the 2025 Responsible AI Index found 78 percent of respondents agreed with ethical AI performance statements, yet only 29 percent had implemented relevant responsible AI practices, a “saying-doing” gap that the Guidance itself acknowledges </w:t>
      </w:r>
      <w:hyperlink w:anchor="ref3" w:history="1">
        <w:r w:rsidRPr="003A2146">
          <w:rPr>
            <w:rFonts w:ascii="Calibri" w:eastAsia="Times New Roman" w:hAnsi="Calibri" w:cs="Calibri"/>
          </w:rPr>
          <w:t>[3]</w:t>
        </w:r>
      </w:hyperlink>
      <w:r w:rsidRPr="003A2146">
        <w:rPr>
          <w:rFonts w:ascii="Calibri" w:eastAsia="Times New Roman" w:hAnsi="Calibri" w:cs="Calibri"/>
        </w:rPr>
        <w:t xml:space="preserve">. A framework that organisations already follow unevenly is unlikely to stretch to cover new risks that it does not yet describe. Hagendorff also found that the topics most guidelines cover, such as privacy, fairness and accountability, appear in about 80 percent of the guidelines he reviewed and are those for which technical fixes already exist </w:t>
      </w:r>
      <w:hyperlink w:anchor="ref1" w:history="1">
        <w:r w:rsidRPr="003A2146">
          <w:rPr>
            <w:rFonts w:ascii="Calibri" w:eastAsia="Times New Roman" w:hAnsi="Calibri" w:cs="Calibri"/>
          </w:rPr>
          <w:t>[1]</w:t>
        </w:r>
      </w:hyperlink>
      <w:r w:rsidRPr="003A2146">
        <w:rPr>
          <w:rFonts w:ascii="Calibri" w:eastAsia="Times New Roman" w:hAnsi="Calibri" w:cs="Calibri"/>
        </w:rPr>
        <w:t>. The Guidance repeats this pattern in part: it is most detailed where technical measures are available, such as testing and documentation, and says nothing about AGI.</w:t>
      </w:r>
    </w:p>
    <w:p w14:paraId="4AA9EA6E"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Notably, Hagendorff’s own recommended fix is to make guidelines more technical, what he calls “microethics,” concrete instructions such as standardised dataset documentation </w:t>
      </w:r>
      <w:hyperlink w:anchor="ref1" w:history="1">
        <w:r w:rsidRPr="003A2146">
          <w:rPr>
            <w:rFonts w:ascii="Calibri" w:eastAsia="Times New Roman" w:hAnsi="Calibri" w:cs="Calibri"/>
          </w:rPr>
          <w:t>[1]</w:t>
        </w:r>
      </w:hyperlink>
      <w:r w:rsidRPr="003A2146">
        <w:rPr>
          <w:rFonts w:ascii="Calibri" w:eastAsia="Times New Roman" w:hAnsi="Calibri" w:cs="Calibri"/>
        </w:rPr>
        <w:t xml:space="preserve">. By that standard, the Guidance’s CBRN evaluation and model-card requirements are exactly the kind of specific, technical detail he argues most guidelines lack, which is a genuine strength. However, technical detail alone does not resolve the enforcement problem: a well-specified rule that nobody is required to follow remains, in a phrase Hagendorff borrows from Luhmann, “operationally effectless” </w:t>
      </w:r>
      <w:hyperlink w:anchor="ref1" w:history="1">
        <w:r w:rsidRPr="003A2146">
          <w:rPr>
            <w:rFonts w:ascii="Calibri" w:eastAsia="Times New Roman" w:hAnsi="Calibri" w:cs="Calibri"/>
          </w:rPr>
          <w:t>[1]</w:t>
        </w:r>
      </w:hyperlink>
      <w:r w:rsidRPr="003A2146">
        <w:rPr>
          <w:rFonts w:ascii="Calibri" w:eastAsia="Times New Roman" w:hAnsi="Calibri" w:cs="Calibri"/>
        </w:rPr>
        <w:t xml:space="preserve">. He also identifies AGI as one of the few gaps earlier guidelines could reasonably leave unaddressed, since it was then “purely speculative” </w:t>
      </w:r>
      <w:hyperlink w:anchor="ref1" w:history="1">
        <w:r w:rsidRPr="003A2146">
          <w:rPr>
            <w:rFonts w:ascii="Calibri" w:eastAsia="Times New Roman" w:hAnsi="Calibri" w:cs="Calibri"/>
          </w:rPr>
          <w:t>[1]</w:t>
        </w:r>
      </w:hyperlink>
      <w:r w:rsidRPr="003A2146">
        <w:rPr>
          <w:rFonts w:ascii="Calibri" w:eastAsia="Times New Roman" w:hAnsi="Calibri" w:cs="Calibri"/>
        </w:rPr>
        <w:t>. That justification no longer applies to GPAI, which is now deployed and in widespread use rather than a future possibility, yet Australia’s governance approach has not changed to reflect this.</w:t>
      </w:r>
    </w:p>
    <w:p w14:paraId="322F103A" w14:textId="58239BB6" w:rsidR="00375691" w:rsidRPr="003A2146" w:rsidRDefault="003A2146" w:rsidP="003A2146">
      <w:pPr>
        <w:jc w:val="both"/>
        <w:rPr>
          <w:rFonts w:ascii="Calibri" w:hAnsi="Calibri" w:cs="Calibri"/>
        </w:rPr>
      </w:pPr>
      <w:r w:rsidRPr="003A2146">
        <w:rPr>
          <w:rFonts w:ascii="Calibri" w:eastAsia="Times New Roman" w:hAnsi="Calibri" w:cs="Calibri"/>
        </w:rPr>
        <w:lastRenderedPageBreak/>
        <w:t xml:space="preserve">On this basis, Australia’s GPAI-specific provisions are unlikely to change what practitioners do, since the Guidance has no mechanism to enforce them beyond each organisation’s own risk tolerance. The broader AI governance literature supports this conclusion: the gap between what guidelines state and what is actually enforced is repeatedly identified as one of the field’s most persistent unresolved problems, not an issue specific to this Guidance </w:t>
      </w:r>
      <w:hyperlink w:anchor="ref11" w:history="1">
        <w:r w:rsidRPr="003A2146">
          <w:rPr>
            <w:rFonts w:ascii="Calibri" w:eastAsia="Times New Roman" w:hAnsi="Calibri" w:cs="Calibri"/>
          </w:rPr>
          <w:t>[11]</w:t>
        </w:r>
      </w:hyperlink>
      <w:r w:rsidRPr="003A2146">
        <w:rPr>
          <w:rFonts w:ascii="Calibri" w:eastAsia="Times New Roman" w:hAnsi="Calibri" w:cs="Calibri"/>
        </w:rPr>
        <w:t xml:space="preserve">, </w:t>
      </w:r>
      <w:hyperlink w:anchor="ref12" w:history="1">
        <w:r w:rsidRPr="003A2146">
          <w:rPr>
            <w:rFonts w:ascii="Calibri" w:eastAsia="Times New Roman" w:hAnsi="Calibri" w:cs="Calibri"/>
          </w:rPr>
          <w:t>[12]</w:t>
        </w:r>
      </w:hyperlink>
      <w:r w:rsidR="002153AA" w:rsidRPr="003A2146">
        <w:rPr>
          <w:rFonts w:ascii="Calibri" w:hAnsi="Calibri" w:cs="Calibri"/>
        </w:rPr>
        <w:t>.</w:t>
      </w:r>
    </w:p>
    <w:p w14:paraId="528E5D62" w14:textId="18BF4BA3" w:rsidR="00375691" w:rsidRPr="003A2146" w:rsidRDefault="00375691" w:rsidP="00404418">
      <w:pPr>
        <w:pStyle w:val="Heading2"/>
        <w:rPr>
          <w:rFonts w:ascii="Calibri" w:hAnsi="Calibri" w:cs="Calibri"/>
        </w:rPr>
      </w:pPr>
      <w:bookmarkStart w:id="8" w:name="_Toc242652890"/>
      <w:r w:rsidRPr="003A2146">
        <w:rPr>
          <w:rFonts w:ascii="Calibri" w:hAnsi="Calibri" w:cs="Calibri"/>
        </w:rPr>
        <w:t xml:space="preserve">2.3 Is </w:t>
      </w:r>
      <w:r w:rsidR="0072463F" w:rsidRPr="003A2146">
        <w:rPr>
          <w:rFonts w:ascii="Calibri" w:hAnsi="Calibri" w:cs="Calibri"/>
        </w:rPr>
        <w:t xml:space="preserve">the </w:t>
      </w:r>
      <w:r w:rsidR="00404418" w:rsidRPr="003A2146">
        <w:rPr>
          <w:rFonts w:ascii="Calibri" w:hAnsi="Calibri" w:cs="Calibri"/>
        </w:rPr>
        <w:t>Alternative</w:t>
      </w:r>
      <w:r w:rsidRPr="003A2146">
        <w:rPr>
          <w:rFonts w:ascii="Calibri" w:hAnsi="Calibri" w:cs="Calibri"/>
        </w:rPr>
        <w:t>, Binding, Tiered Regulation, Actually More Flexible?</w:t>
      </w:r>
      <w:bookmarkEnd w:id="8"/>
    </w:p>
    <w:p w14:paraId="3FDC2E53" w14:textId="28A3033B" w:rsidR="00A201B8"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If voluntary guidance struggles to keep pace with new high-risk AI, it is worth asking whether the obvious alternative, binding, tiered regulation, performs any better, and whether other voluntary guidelines are even further behind. Two comparisons address this. First, Schnitzer et al. classified all 87 High-Risk Requirements in Articles 9–15 of the EU AI Act, the most developed binding, tiered AI law currently in force (Table 1) </w:t>
      </w:r>
      <w:hyperlink w:anchor="ref7" w:history="1">
        <w:r w:rsidRPr="003A2146">
          <w:rPr>
            <w:rFonts w:ascii="Calibri" w:eastAsia="Times New Roman" w:hAnsi="Calibri" w:cs="Calibri"/>
          </w:rPr>
          <w:t>[7]</w:t>
        </w:r>
      </w:hyperlink>
      <w:r w:rsidRPr="003A2146">
        <w:rPr>
          <w:rFonts w:ascii="Calibri" w:eastAsia="Times New Roman" w:hAnsi="Calibri" w:cs="Calibri"/>
        </w:rPr>
        <w:t>.</w:t>
      </w:r>
    </w:p>
    <w:p w14:paraId="152DB1C4" w14:textId="77777777" w:rsidR="003A2146" w:rsidRPr="003A2146" w:rsidRDefault="003A2146" w:rsidP="003A2146">
      <w:pPr>
        <w:keepNext/>
        <w:spacing w:before="120" w:after="80"/>
        <w:rPr>
          <w:rFonts w:ascii="Calibri" w:hAnsi="Calibri" w:cs="Calibri"/>
          <w:i/>
          <w:iCs/>
        </w:rPr>
      </w:pPr>
      <w:r w:rsidRPr="003A2146">
        <w:rPr>
          <w:rFonts w:ascii="Calibri" w:eastAsia="Times New Roman" w:hAnsi="Calibri" w:cs="Calibri"/>
          <w:i/>
          <w:iCs/>
          <w:sz w:val="22"/>
          <w:szCs w:val="22"/>
        </w:rPr>
        <w:t xml:space="preserve">Table 1. Classification of the EU AI Act’s 87 High-Risk Requirements (Articles 9–15) </w:t>
      </w:r>
      <w:hyperlink w:anchor="ref7" w:history="1">
        <w:r w:rsidRPr="003A2146">
          <w:rPr>
            <w:rFonts w:ascii="Calibri" w:eastAsia="Times New Roman" w:hAnsi="Calibri" w:cs="Calibri"/>
            <w:i/>
            <w:iCs/>
            <w:sz w:val="22"/>
            <w:szCs w:val="22"/>
          </w:rPr>
          <w:t>[7]</w:t>
        </w:r>
      </w:hyperlink>
    </w:p>
    <w:tbl>
      <w:tblPr>
        <w:tblW w:w="0" w:type="auto"/>
        <w:tblInd w:w="-10" w:type="dxa"/>
        <w:tblCellMar>
          <w:top w:w="15" w:type="dxa"/>
          <w:left w:w="15" w:type="dxa"/>
          <w:bottom w:w="15" w:type="dxa"/>
          <w:right w:w="15" w:type="dxa"/>
        </w:tblCellMar>
        <w:tblLook w:val="04A0" w:firstRow="1" w:lastRow="0" w:firstColumn="1" w:lastColumn="0" w:noHBand="0" w:noVBand="1"/>
      </w:tblPr>
      <w:tblGrid>
        <w:gridCol w:w="5130"/>
        <w:gridCol w:w="1170"/>
        <w:gridCol w:w="1350"/>
      </w:tblGrid>
      <w:tr w:rsidR="00A201B8" w:rsidRPr="003A2146" w14:paraId="6AB17E7C" w14:textId="77777777" w:rsidTr="00A201B8">
        <w:trPr>
          <w:trHeight w:val="465"/>
        </w:trPr>
        <w:tc>
          <w:tcPr>
            <w:tcW w:w="51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B07CA9" w14:textId="77777777" w:rsidR="00A201B8" w:rsidRPr="003A2146" w:rsidRDefault="00A201B8" w:rsidP="00A201B8">
            <w:pPr>
              <w:jc w:val="both"/>
              <w:rPr>
                <w:rFonts w:ascii="Calibri" w:hAnsi="Calibri" w:cs="Calibri"/>
                <w:b/>
                <w:bCs/>
              </w:rPr>
            </w:pPr>
            <w:r w:rsidRPr="003A2146">
              <w:rPr>
                <w:rFonts w:ascii="Calibri" w:hAnsi="Calibri" w:cs="Calibri"/>
                <w:b/>
                <w:bCs/>
              </w:rPr>
              <w:t>Category</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3AB406E" w14:textId="77777777" w:rsidR="00A201B8" w:rsidRPr="003A2146" w:rsidRDefault="00A201B8" w:rsidP="00A201B8">
            <w:pPr>
              <w:jc w:val="both"/>
              <w:rPr>
                <w:rFonts w:ascii="Calibri" w:hAnsi="Calibri" w:cs="Calibri"/>
                <w:b/>
                <w:bCs/>
              </w:rPr>
            </w:pPr>
            <w:r w:rsidRPr="003A2146">
              <w:rPr>
                <w:rFonts w:ascii="Calibri" w:hAnsi="Calibri" w:cs="Calibri"/>
                <w:b/>
                <w:bCs/>
              </w:rPr>
              <w:t>Count</w:t>
            </w:r>
          </w:p>
        </w:tc>
        <w:tc>
          <w:tcPr>
            <w:tcW w:w="13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D3780E" w14:textId="77777777" w:rsidR="00A201B8" w:rsidRPr="003A2146" w:rsidRDefault="00A201B8" w:rsidP="00A201B8">
            <w:pPr>
              <w:jc w:val="both"/>
              <w:rPr>
                <w:rFonts w:ascii="Calibri" w:hAnsi="Calibri" w:cs="Calibri"/>
                <w:b/>
                <w:bCs/>
              </w:rPr>
            </w:pPr>
            <w:r w:rsidRPr="003A2146">
              <w:rPr>
                <w:rFonts w:ascii="Calibri" w:hAnsi="Calibri" w:cs="Calibri"/>
                <w:b/>
                <w:bCs/>
              </w:rPr>
              <w:t>Share</w:t>
            </w:r>
          </w:p>
        </w:tc>
      </w:tr>
      <w:tr w:rsidR="00A201B8" w:rsidRPr="003A2146" w14:paraId="6A006E15" w14:textId="77777777" w:rsidTr="00A201B8">
        <w:trPr>
          <w:trHeight w:val="480"/>
        </w:trPr>
        <w:tc>
          <w:tcPr>
            <w:tcW w:w="51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4E4D3D" w14:textId="77777777" w:rsidR="00A201B8" w:rsidRPr="003A2146" w:rsidRDefault="00A201B8" w:rsidP="00A201B8">
            <w:pPr>
              <w:jc w:val="both"/>
              <w:rPr>
                <w:rFonts w:ascii="Calibri" w:hAnsi="Calibri" w:cs="Calibri"/>
                <w:b/>
                <w:bCs/>
              </w:rPr>
            </w:pPr>
            <w:r w:rsidRPr="003A2146">
              <w:rPr>
                <w:rFonts w:ascii="Calibri" w:hAnsi="Calibri" w:cs="Calibri"/>
                <w:b/>
                <w:bCs/>
              </w:rPr>
              <w:t>Process Compliance Requirements (PCR)</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F5F01A" w14:textId="77777777" w:rsidR="00A201B8" w:rsidRPr="003A2146" w:rsidRDefault="00A201B8" w:rsidP="00A201B8">
            <w:pPr>
              <w:jc w:val="both"/>
              <w:rPr>
                <w:rFonts w:ascii="Calibri" w:hAnsi="Calibri" w:cs="Calibri"/>
                <w:b/>
                <w:bCs/>
              </w:rPr>
            </w:pPr>
            <w:r w:rsidRPr="003A2146">
              <w:rPr>
                <w:rFonts w:ascii="Calibri" w:hAnsi="Calibri" w:cs="Calibri"/>
                <w:b/>
                <w:bCs/>
              </w:rPr>
              <w:t>40</w:t>
            </w:r>
          </w:p>
        </w:tc>
        <w:tc>
          <w:tcPr>
            <w:tcW w:w="13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091893" w14:textId="77777777" w:rsidR="00A201B8" w:rsidRPr="003A2146" w:rsidRDefault="00A201B8" w:rsidP="00A201B8">
            <w:pPr>
              <w:jc w:val="both"/>
              <w:rPr>
                <w:rFonts w:ascii="Calibri" w:hAnsi="Calibri" w:cs="Calibri"/>
                <w:b/>
                <w:bCs/>
              </w:rPr>
            </w:pPr>
            <w:r w:rsidRPr="003A2146">
              <w:rPr>
                <w:rFonts w:ascii="Calibri" w:hAnsi="Calibri" w:cs="Calibri"/>
                <w:b/>
                <w:bCs/>
              </w:rPr>
              <w:t>45.98%</w:t>
            </w:r>
          </w:p>
        </w:tc>
      </w:tr>
      <w:tr w:rsidR="00A201B8" w:rsidRPr="003A2146" w14:paraId="1554C7C7" w14:textId="77777777" w:rsidTr="00A201B8">
        <w:trPr>
          <w:trHeight w:val="465"/>
        </w:trPr>
        <w:tc>
          <w:tcPr>
            <w:tcW w:w="51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8BFBB0" w14:textId="77777777" w:rsidR="00A201B8" w:rsidRPr="003A2146" w:rsidRDefault="00A201B8" w:rsidP="00A201B8">
            <w:pPr>
              <w:jc w:val="both"/>
              <w:rPr>
                <w:rFonts w:ascii="Calibri" w:hAnsi="Calibri" w:cs="Calibri"/>
                <w:b/>
                <w:bCs/>
              </w:rPr>
            </w:pPr>
            <w:r w:rsidRPr="003A2146">
              <w:rPr>
                <w:rFonts w:ascii="Calibri" w:hAnsi="Calibri" w:cs="Calibri"/>
                <w:b/>
                <w:bCs/>
              </w:rPr>
              <w:t>AI-specific Risk Requirements (AIR)</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E436387" w14:textId="77777777" w:rsidR="00A201B8" w:rsidRPr="003A2146" w:rsidRDefault="00A201B8" w:rsidP="00A201B8">
            <w:pPr>
              <w:jc w:val="both"/>
              <w:rPr>
                <w:rFonts w:ascii="Calibri" w:hAnsi="Calibri" w:cs="Calibri"/>
                <w:b/>
                <w:bCs/>
              </w:rPr>
            </w:pPr>
            <w:r w:rsidRPr="003A2146">
              <w:rPr>
                <w:rFonts w:ascii="Calibri" w:hAnsi="Calibri" w:cs="Calibri"/>
                <w:b/>
                <w:bCs/>
              </w:rPr>
              <w:t>27</w:t>
            </w:r>
          </w:p>
        </w:tc>
        <w:tc>
          <w:tcPr>
            <w:tcW w:w="13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4E3505" w14:textId="77777777" w:rsidR="00A201B8" w:rsidRPr="003A2146" w:rsidRDefault="00A201B8" w:rsidP="00A201B8">
            <w:pPr>
              <w:jc w:val="both"/>
              <w:rPr>
                <w:rFonts w:ascii="Calibri" w:hAnsi="Calibri" w:cs="Calibri"/>
                <w:b/>
                <w:bCs/>
              </w:rPr>
            </w:pPr>
            <w:r w:rsidRPr="003A2146">
              <w:rPr>
                <w:rFonts w:ascii="Calibri" w:hAnsi="Calibri" w:cs="Calibri"/>
                <w:b/>
                <w:bCs/>
              </w:rPr>
              <w:t>31.03%</w:t>
            </w:r>
          </w:p>
        </w:tc>
      </w:tr>
      <w:tr w:rsidR="00A201B8" w:rsidRPr="003A2146" w14:paraId="114348BE" w14:textId="77777777" w:rsidTr="00A201B8">
        <w:trPr>
          <w:trHeight w:val="465"/>
        </w:trPr>
        <w:tc>
          <w:tcPr>
            <w:tcW w:w="51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80D14A" w14:textId="77777777" w:rsidR="00A201B8" w:rsidRPr="003A2146" w:rsidRDefault="00A201B8" w:rsidP="00A201B8">
            <w:pPr>
              <w:jc w:val="both"/>
              <w:rPr>
                <w:rFonts w:ascii="Calibri" w:hAnsi="Calibri" w:cs="Calibri"/>
                <w:b/>
                <w:bCs/>
              </w:rPr>
            </w:pPr>
            <w:r w:rsidRPr="003A2146">
              <w:rPr>
                <w:rFonts w:ascii="Calibri" w:hAnsi="Calibri" w:cs="Calibri"/>
                <w:b/>
                <w:bCs/>
              </w:rPr>
              <w:t>Documentation Compliance Requirements (DCR)</w:t>
            </w:r>
          </w:p>
        </w:tc>
        <w:tc>
          <w:tcPr>
            <w:tcW w:w="11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EA0656" w14:textId="77777777" w:rsidR="00A201B8" w:rsidRPr="003A2146" w:rsidRDefault="00A201B8" w:rsidP="00A201B8">
            <w:pPr>
              <w:jc w:val="both"/>
              <w:rPr>
                <w:rFonts w:ascii="Calibri" w:hAnsi="Calibri" w:cs="Calibri"/>
                <w:b/>
                <w:bCs/>
              </w:rPr>
            </w:pPr>
            <w:r w:rsidRPr="003A2146">
              <w:rPr>
                <w:rFonts w:ascii="Calibri" w:hAnsi="Calibri" w:cs="Calibri"/>
                <w:b/>
                <w:bCs/>
              </w:rPr>
              <w:t>20</w:t>
            </w:r>
          </w:p>
        </w:tc>
        <w:tc>
          <w:tcPr>
            <w:tcW w:w="13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01CDDB" w14:textId="77777777" w:rsidR="00A201B8" w:rsidRPr="003A2146" w:rsidRDefault="00A201B8" w:rsidP="00A201B8">
            <w:pPr>
              <w:jc w:val="both"/>
              <w:rPr>
                <w:rFonts w:ascii="Calibri" w:hAnsi="Calibri" w:cs="Calibri"/>
                <w:b/>
                <w:bCs/>
              </w:rPr>
            </w:pPr>
            <w:r w:rsidRPr="003A2146">
              <w:rPr>
                <w:rFonts w:ascii="Calibri" w:hAnsi="Calibri" w:cs="Calibri"/>
                <w:b/>
                <w:bCs/>
              </w:rPr>
              <w:t>22.99%</w:t>
            </w:r>
          </w:p>
        </w:tc>
      </w:tr>
    </w:tbl>
    <w:p w14:paraId="20795A1F"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Fewer than a third of the requirements in this binding, tiered law directly target an AI-specific risk; the majority impose organisational process and documentation duties </w:t>
      </w:r>
      <w:hyperlink w:anchor="ref7" w:history="1">
        <w:r w:rsidRPr="003A2146">
          <w:rPr>
            <w:rFonts w:ascii="Calibri" w:eastAsia="Times New Roman" w:hAnsi="Calibri" w:cs="Calibri"/>
          </w:rPr>
          <w:t>[7]</w:t>
        </w:r>
      </w:hyperlink>
      <w:r w:rsidRPr="003A2146">
        <w:rPr>
          <w:rFonts w:ascii="Calibri" w:eastAsia="Times New Roman" w:hAnsi="Calibri" w:cs="Calibri"/>
        </w:rPr>
        <w:t xml:space="preserve">. All 18 requirements in Article 9, the Act’s central risk-management provision, are process requirements, which the authors read as the Act deliberately leaving providers to identify the AI-specific risks themselves </w:t>
      </w:r>
      <w:hyperlink w:anchor="ref7" w:history="1">
        <w:r w:rsidRPr="003A2146">
          <w:rPr>
            <w:rFonts w:ascii="Calibri" w:eastAsia="Times New Roman" w:hAnsi="Calibri" w:cs="Calibri"/>
          </w:rPr>
          <w:t>[7]</w:t>
        </w:r>
      </w:hyperlink>
      <w:r w:rsidRPr="003A2146">
        <w:rPr>
          <w:rFonts w:ascii="Calibri" w:eastAsia="Times New Roman" w:hAnsi="Calibri" w:cs="Calibri"/>
        </w:rPr>
        <w:t xml:space="preserve">. The spread is also uneven: Article 10 on data governance has eleven AI-specific requirements out of nineteen, while Article 13 on transparency has only two out of sixteen </w:t>
      </w:r>
      <w:hyperlink w:anchor="ref7" w:history="1">
        <w:r w:rsidRPr="003A2146">
          <w:rPr>
            <w:rFonts w:ascii="Calibri" w:eastAsia="Times New Roman" w:hAnsi="Calibri" w:cs="Calibri"/>
          </w:rPr>
          <w:t>[7]</w:t>
        </w:r>
      </w:hyperlink>
      <w:r w:rsidRPr="003A2146">
        <w:rPr>
          <w:rFonts w:ascii="Calibri" w:eastAsia="Times New Roman" w:hAnsi="Calibri" w:cs="Calibri"/>
        </w:rPr>
        <w:t>. Even a formal four-tier classification, in other words, does not guarantee substantive protection, and a voluntary framework with no tier at all, such as Australia’s, starts from an even weaker position. A tier on its own is not flexibility; what matters is whether the obligations behind it address the risks that new systems actually create.</w:t>
      </w:r>
    </w:p>
    <w:p w14:paraId="6B8B222E" w14:textId="250489DE" w:rsidR="00375691"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Second, Malaysia’s AIGE offers a useful lower bound for comparison. It is a similarly voluntary, principle-based instrument, built around seven principles for three stakeholder groups, that is markedly less developed on GPAI than Australia’s. It states outright that policy work on generative AI “will be incorporated in the next version of the AIGE” </w:t>
      </w:r>
      <w:hyperlink w:anchor="ref9" w:history="1">
        <w:r w:rsidRPr="003A2146">
          <w:rPr>
            <w:rFonts w:ascii="Calibri" w:eastAsia="Times New Roman" w:hAnsi="Calibri" w:cs="Calibri"/>
          </w:rPr>
          <w:t>[9]</w:t>
        </w:r>
      </w:hyperlink>
      <w:r w:rsidRPr="003A2146">
        <w:rPr>
          <w:rFonts w:ascii="Calibri" w:eastAsia="Times New Roman" w:hAnsi="Calibri" w:cs="Calibri"/>
        </w:rPr>
        <w:t xml:space="preserve">, explicitly deferring the task rather </w:t>
      </w:r>
      <w:r w:rsidRPr="003A2146">
        <w:rPr>
          <w:rFonts w:ascii="Calibri" w:eastAsia="Times New Roman" w:hAnsi="Calibri" w:cs="Calibri"/>
        </w:rPr>
        <w:lastRenderedPageBreak/>
        <w:t xml:space="preserve">than attempting it, and its appendix describes the EU’s four risk levels only as an example of what other jurisdictions do, without adopting anything comparable itself </w:t>
      </w:r>
      <w:hyperlink w:anchor="ref9" w:history="1">
        <w:r w:rsidRPr="003A2146">
          <w:rPr>
            <w:rFonts w:ascii="Calibri" w:eastAsia="Times New Roman" w:hAnsi="Calibri" w:cs="Calibri"/>
          </w:rPr>
          <w:t>[9]</w:t>
        </w:r>
      </w:hyperlink>
      <w:r w:rsidRPr="003A2146">
        <w:rPr>
          <w:rFonts w:ascii="Calibri" w:eastAsia="Times New Roman" w:hAnsi="Calibri" w:cs="Calibri"/>
        </w:rPr>
        <w:t xml:space="preserve">. Its governance guidance asks organisations to keep a feedback loop and “mechanisms for continuous improvement”, an ongoing review commitment rather than a formal risk tier </w:t>
      </w:r>
      <w:hyperlink w:anchor="ref9" w:history="1">
        <w:r w:rsidRPr="003A2146">
          <w:rPr>
            <w:rFonts w:ascii="Calibri" w:eastAsia="Times New Roman" w:hAnsi="Calibri" w:cs="Calibri"/>
          </w:rPr>
          <w:t>[9]</w:t>
        </w:r>
      </w:hyperlink>
      <w:r w:rsidRPr="003A2146">
        <w:rPr>
          <w:rFonts w:ascii="Calibri" w:eastAsia="Times New Roman" w:hAnsi="Calibri" w:cs="Calibri"/>
        </w:rPr>
        <w:t>. Because Malaysia defers its GPAI-specific policy work, Australia’s partial engagement with GPAI stands out by comparison. Read together, these two comparisons place Australia’s Guidance in the middle of a spectrum: more GPAI-aware than Malaysia, but structurally no more flexible than a binding law that itself struggles to capture AI-specific risk across most of what it regulates. The difference that matters is not the tier but the duty: a binding law, even an imperfect one, obliges organisations to act, while a voluntary guideline can only invite them to.</w:t>
      </w:r>
    </w:p>
    <w:p w14:paraId="53AB29A2" w14:textId="77777777" w:rsidR="00375691" w:rsidRPr="003A2146" w:rsidRDefault="00375691" w:rsidP="00404418">
      <w:pPr>
        <w:pStyle w:val="Heading2"/>
        <w:rPr>
          <w:rFonts w:ascii="Calibri" w:hAnsi="Calibri" w:cs="Calibri"/>
        </w:rPr>
      </w:pPr>
      <w:bookmarkStart w:id="9" w:name="_Toc242652891"/>
      <w:r w:rsidRPr="003A2146">
        <w:rPr>
          <w:rFonts w:ascii="Calibri" w:hAnsi="Calibri" w:cs="Calibri"/>
        </w:rPr>
        <w:t>2.4 AGI, Real-World Incidents, and Why This Is Not Just an Australian Problem</w:t>
      </w:r>
      <w:bookmarkEnd w:id="9"/>
    </w:p>
    <w:p w14:paraId="537DAB4F"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AGI represents the clearest test of whether the Guidance is flexible enough to capture new and emerging forms of high-risk AI, since it is not simply a larger-scale version of the GPAI problem the Guidance already partly addresses. Cheng and Gong argue that AGI could bring abrupt, transformative shifts serious enough to require overhauling the entire regulatory approach built around generative AI, rather than extending it </w:t>
      </w:r>
      <w:hyperlink w:anchor="ref13" w:history="1">
        <w:r w:rsidRPr="003A2146">
          <w:rPr>
            <w:rFonts w:ascii="Calibri" w:eastAsia="Times New Roman" w:hAnsi="Calibri" w:cs="Calibri"/>
          </w:rPr>
          <w:t>[13]</w:t>
        </w:r>
      </w:hyperlink>
      <w:r w:rsidRPr="003A2146">
        <w:rPr>
          <w:rFonts w:ascii="Calibri" w:eastAsia="Times New Roman" w:hAnsi="Calibri" w:cs="Calibri"/>
        </w:rPr>
        <w:t xml:space="preserve">. Their proposed response is not to append further provisions to an existing framework, which is exactly what Australia’s Guidance does for GPAI, but to build a distinct “synthetic regulation framework” grounded in Digital Humanism </w:t>
      </w:r>
      <w:hyperlink w:anchor="ref13" w:history="1">
        <w:r w:rsidRPr="003A2146">
          <w:rPr>
            <w:rFonts w:ascii="Calibri" w:eastAsia="Times New Roman" w:hAnsi="Calibri" w:cs="Calibri"/>
          </w:rPr>
          <w:t>[13]</w:t>
        </w:r>
      </w:hyperlink>
      <w:r w:rsidRPr="003A2146">
        <w:rPr>
          <w:rFonts w:ascii="Calibri" w:eastAsia="Times New Roman" w:hAnsi="Calibri" w:cs="Calibri"/>
        </w:rPr>
        <w:t>. By this standard, the Guidance has not merely under-prepared for AGI; it has made no attempt to address it at all, since the concept does not appear in its text.</w:t>
      </w:r>
    </w:p>
    <w:p w14:paraId="1721D097"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This limitation is not unique to Australia. Schwab et al. mapped GPAI governance across twenty “AI middle-power” jurisdictions, advanced economies that do not host frontier developers themselves but must govern systems built elsewhere </w:t>
      </w:r>
      <w:hyperlink w:anchor="ref8" w:history="1">
        <w:r w:rsidRPr="003A2146">
          <w:rPr>
            <w:rFonts w:ascii="Calibri" w:eastAsia="Times New Roman" w:hAnsi="Calibri" w:cs="Calibri"/>
          </w:rPr>
          <w:t>[8]</w:t>
        </w:r>
      </w:hyperlink>
      <w:r w:rsidRPr="003A2146">
        <w:rPr>
          <w:rFonts w:ascii="Calibri" w:eastAsia="Times New Roman" w:hAnsi="Calibri" w:cs="Calibri"/>
        </w:rPr>
        <w:t xml:space="preserve">. Sixteen of the twenty engage in at least three of the four governance areas they examined, yet only about one in five (22 percent) of the provisions are binding, and four in five oversight bodies hold mandates that predate GPAI as a category </w:t>
      </w:r>
      <w:hyperlink w:anchor="ref8" w:history="1">
        <w:r w:rsidRPr="003A2146">
          <w:rPr>
            <w:rFonts w:ascii="Calibri" w:eastAsia="Times New Roman" w:hAnsi="Calibri" w:cs="Calibri"/>
          </w:rPr>
          <w:t>[8]</w:t>
        </w:r>
      </w:hyperlink>
      <w:r w:rsidRPr="003A2146">
        <w:rPr>
          <w:rFonts w:ascii="Calibri" w:eastAsia="Times New Roman" w:hAnsi="Calibri" w:cs="Calibri"/>
        </w:rPr>
        <w:t xml:space="preserve">. Even the two jurisdictions that do host frontier AI developers, the United States and China, take substantially different approaches to GPAI governance </w:t>
      </w:r>
      <w:hyperlink w:anchor="ref14" w:history="1">
        <w:r w:rsidRPr="003A2146">
          <w:rPr>
            <w:rFonts w:ascii="Calibri" w:eastAsia="Times New Roman" w:hAnsi="Calibri" w:cs="Calibri"/>
          </w:rPr>
          <w:t>[14]</w:t>
        </w:r>
      </w:hyperlink>
      <w:r w:rsidRPr="003A2146">
        <w:rPr>
          <w:rFonts w:ascii="Calibri" w:eastAsia="Times New Roman" w:hAnsi="Calibri" w:cs="Calibri"/>
        </w:rPr>
        <w:t>, which indicates a structural, international pattern rather than a failing specific to Australia.</w:t>
      </w:r>
    </w:p>
    <w:p w14:paraId="5A27B679" w14:textId="39E91833" w:rsidR="00375691" w:rsidRPr="003A2146" w:rsidRDefault="003A2146" w:rsidP="003A2146">
      <w:pPr>
        <w:spacing w:line="312" w:lineRule="auto"/>
        <w:jc w:val="both"/>
        <w:rPr>
          <w:rFonts w:ascii="Calibri" w:hAnsi="Calibri" w:cs="Calibri"/>
        </w:rPr>
      </w:pPr>
      <w:r w:rsidRPr="003A2146">
        <w:rPr>
          <w:rFonts w:ascii="Calibri" w:eastAsia="Times New Roman" w:hAnsi="Calibri" w:cs="Calibri"/>
        </w:rPr>
        <w:t>The practical stakes of this gap are considerable. According to the AI Incident Database, as reported by TIME, AI-related incident reports rose 50 percent year-on-year between 2022 and 2024, and had already passed the full 2024 total within the first ten months of 2025; malicious-</w:t>
      </w:r>
      <w:r w:rsidRPr="003A2146">
        <w:rPr>
          <w:rFonts w:ascii="Calibri" w:eastAsia="Times New Roman" w:hAnsi="Calibri" w:cs="Calibri"/>
        </w:rPr>
        <w:lastRenderedPageBreak/>
        <w:t xml:space="preserve">use incidents grew eight-fold since 2022, and deepfake-video incidents have outnumbered autonomous-vehicle, facial-recognition, and content-moderation incidents combined since 2023 </w:t>
      </w:r>
      <w:hyperlink w:anchor="ref15" w:history="1">
        <w:r w:rsidRPr="003A2146">
          <w:rPr>
            <w:rFonts w:ascii="Calibri" w:eastAsia="Times New Roman" w:hAnsi="Calibri" w:cs="Calibri"/>
          </w:rPr>
          <w:t>[15]</w:t>
        </w:r>
      </w:hyperlink>
      <w:r w:rsidRPr="003A2146">
        <w:rPr>
          <w:rFonts w:ascii="Calibri" w:eastAsia="Times New Roman" w:hAnsi="Calibri" w:cs="Calibri"/>
        </w:rPr>
        <w:t xml:space="preserve">. De Miguel Velázquez et al. analysed 639 real-world incidents and found that harm often followed poor organisational decisions and legal non-compliance, that corrective action was limited, that developers rarely reported incidents, and that current governance frameworks were inadequate </w:t>
      </w:r>
      <w:hyperlink w:anchor="ref16" w:history="1">
        <w:r w:rsidRPr="003A2146">
          <w:rPr>
            <w:rFonts w:ascii="Calibri" w:eastAsia="Times New Roman" w:hAnsi="Calibri" w:cs="Calibri"/>
          </w:rPr>
          <w:t>[16]</w:t>
        </w:r>
      </w:hyperlink>
      <w:r w:rsidRPr="003A2146">
        <w:rPr>
          <w:rFonts w:ascii="Calibri" w:eastAsia="Times New Roman" w:hAnsi="Calibri" w:cs="Calibri"/>
        </w:rPr>
        <w:t xml:space="preserve">. A clear definition of high-risk use, with a reporting duty attached, is the kind of safeguard that record points to. Triguero et al.’s taxonomy, which separates types of GPAI by their properties and limitations rather than treating them as a single category </w:t>
      </w:r>
      <w:hyperlink w:anchor="ref6" w:history="1">
        <w:r w:rsidRPr="003A2146">
          <w:rPr>
            <w:rFonts w:ascii="Calibri" w:eastAsia="Times New Roman" w:hAnsi="Calibri" w:cs="Calibri"/>
          </w:rPr>
          <w:t>[6]</w:t>
        </w:r>
      </w:hyperlink>
      <w:r w:rsidRPr="003A2146">
        <w:rPr>
          <w:rFonts w:ascii="Calibri" w:eastAsia="Times New Roman" w:hAnsi="Calibri" w:cs="Calibri"/>
        </w:rPr>
        <w:t>, suggests that such a graded tier is workable in principle. A voluntary, non-tiered framework has no structural way of guaranteeing one. Taken together, the evidence across all four sections indicates that, because it is voluntary, Australia’s Guidance captures GPAI only partially and AGI not at all, and that this reflects a broader, unresolved problem in how voluntary AI governance keeps pace with emerging high-risk AI.</w:t>
      </w:r>
    </w:p>
    <w:p w14:paraId="431F145A" w14:textId="77777777" w:rsidR="001C71A1" w:rsidRPr="003A2146" w:rsidRDefault="001C71A1" w:rsidP="00C133C2">
      <w:pPr>
        <w:pStyle w:val="Heading1"/>
        <w:rPr>
          <w:rFonts w:ascii="Calibri" w:hAnsi="Calibri" w:cs="Calibri"/>
        </w:rPr>
      </w:pPr>
      <w:bookmarkStart w:id="10" w:name="_Toc242652892"/>
      <w:r w:rsidRPr="003A2146">
        <w:rPr>
          <w:rFonts w:ascii="Calibri" w:hAnsi="Calibri" w:cs="Calibri"/>
        </w:rPr>
        <w:t>3. Conclusion and Recommendations</w:t>
      </w:r>
      <w:bookmarkEnd w:id="10"/>
    </w:p>
    <w:p w14:paraId="1A5C9E0F" w14:textId="77777777" w:rsidR="001C71A1" w:rsidRPr="003A2146" w:rsidRDefault="001C71A1" w:rsidP="00C133C2">
      <w:pPr>
        <w:pStyle w:val="Heading2"/>
        <w:rPr>
          <w:rFonts w:ascii="Calibri" w:hAnsi="Calibri" w:cs="Calibri"/>
        </w:rPr>
      </w:pPr>
      <w:bookmarkStart w:id="11" w:name="_Toc242652893"/>
      <w:r w:rsidRPr="003A2146">
        <w:rPr>
          <w:rFonts w:ascii="Calibri" w:hAnsi="Calibri" w:cs="Calibri"/>
        </w:rPr>
        <w:t>3.1 Conclusion</w:t>
      </w:r>
      <w:bookmarkEnd w:id="11"/>
    </w:p>
    <w:p w14:paraId="6AB18DC4"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This report set out to determine whether Australia’s voluntary Guidance for AI Adoption can remain flexible enough to capture new and emerging forms of high-risk AI, including GPAI and AGI. The answer that emerges is a qualified no, and the Guidance’s voluntary nature is central to why. The Guidance is more attentive to GPAI than its voluntary status might suggest, incorporating capability-scaled safety evaluations, GPAI-specific transparency duties, and supply-chain information sharing. However, it leaves risk classification to each organisation’s own discretion through an internal triage process, never formally defines “high-risk AI,” and does not mention AGI at all </w:t>
      </w:r>
      <w:hyperlink w:anchor="ref3" w:history="1">
        <w:r w:rsidRPr="003A2146">
          <w:rPr>
            <w:rFonts w:ascii="Calibri" w:eastAsia="Times New Roman" w:hAnsi="Calibri" w:cs="Calibri"/>
          </w:rPr>
          <w:t>[3]</w:t>
        </w:r>
      </w:hyperlink>
      <w:r w:rsidRPr="003A2146">
        <w:rPr>
          <w:rFonts w:ascii="Calibri" w:eastAsia="Times New Roman" w:hAnsi="Calibri" w:cs="Calibri"/>
        </w:rPr>
        <w:t>. These findings speak directly to the four issues examined in this report.</w:t>
      </w:r>
    </w:p>
    <w:p w14:paraId="38987F88" w14:textId="77777777" w:rsidR="003A2146"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First, GPAI resists static classification by its very nature, since its capabilities remain open-ended rather than fixed at the point of deployment. This means the Guidance’s additional clauses function as an overlay rather than a genuine capability-based tier </w:t>
      </w:r>
      <w:hyperlink w:anchor="ref2" w:history="1">
        <w:r w:rsidRPr="003A2146">
          <w:rPr>
            <w:rFonts w:ascii="Calibri" w:eastAsia="Times New Roman" w:hAnsi="Calibri" w:cs="Calibri"/>
          </w:rPr>
          <w:t>[2]</w:t>
        </w:r>
      </w:hyperlink>
      <w:r w:rsidRPr="003A2146">
        <w:rPr>
          <w:rFonts w:ascii="Calibri" w:eastAsia="Times New Roman" w:hAnsi="Calibri" w:cs="Calibri"/>
        </w:rPr>
        <w:t xml:space="preserve">, </w:t>
      </w:r>
      <w:hyperlink w:anchor="ref6" w:history="1">
        <w:r w:rsidRPr="003A2146">
          <w:rPr>
            <w:rFonts w:ascii="Calibri" w:eastAsia="Times New Roman" w:hAnsi="Calibri" w:cs="Calibri"/>
          </w:rPr>
          <w:t>[6]</w:t>
        </w:r>
      </w:hyperlink>
      <w:r w:rsidRPr="003A2146">
        <w:rPr>
          <w:rFonts w:ascii="Calibri" w:eastAsia="Times New Roman" w:hAnsi="Calibri" w:cs="Calibri"/>
        </w:rPr>
        <w:t xml:space="preserve">. Second, voluntary guidance is unlikely to achieve real flexibility regardless of how well-intentioned it is. Hagendorff’s framework demonstrates that even carefully specified technical detail, such as the Guidance’s CBRN evaluations, remains “operationally effectless” in the absence of an enforcement mechanism </w:t>
      </w:r>
      <w:hyperlink w:anchor="ref1" w:history="1">
        <w:r w:rsidRPr="003A2146">
          <w:rPr>
            <w:rFonts w:ascii="Calibri" w:eastAsia="Times New Roman" w:hAnsi="Calibri" w:cs="Calibri"/>
          </w:rPr>
          <w:t>[1]</w:t>
        </w:r>
      </w:hyperlink>
      <w:r w:rsidRPr="003A2146">
        <w:rPr>
          <w:rFonts w:ascii="Calibri" w:eastAsia="Times New Roman" w:hAnsi="Calibri" w:cs="Calibri"/>
        </w:rPr>
        <w:t>. Third, binding regulation is not automatically a stronger alternative. The EU AI Act, the most developed tiered regime currently in force, directs only 31.03 percent of its high-</w:t>
      </w:r>
      <w:r w:rsidRPr="003A2146">
        <w:rPr>
          <w:rFonts w:ascii="Calibri" w:eastAsia="Times New Roman" w:hAnsi="Calibri" w:cs="Calibri"/>
        </w:rPr>
        <w:lastRenderedPageBreak/>
        <w:t xml:space="preserve">risk requirements at AI-specific risk sources </w:t>
      </w:r>
      <w:hyperlink w:anchor="ref7" w:history="1">
        <w:r w:rsidRPr="003A2146">
          <w:rPr>
            <w:rFonts w:ascii="Calibri" w:eastAsia="Times New Roman" w:hAnsi="Calibri" w:cs="Calibri"/>
          </w:rPr>
          <w:t>[7]</w:t>
        </w:r>
      </w:hyperlink>
      <w:r w:rsidRPr="003A2146">
        <w:rPr>
          <w:rFonts w:ascii="Calibri" w:eastAsia="Times New Roman" w:hAnsi="Calibri" w:cs="Calibri"/>
        </w:rPr>
        <w:t xml:space="preserve">, and Australia’s position reflects a broader international pattern: only about one in five GPAI-relevant provisions across twenty middle-power jurisdictions is legally binding, while Malaysia’s guidelines defer their generative-AI policy work to a future edition entirely </w:t>
      </w:r>
      <w:hyperlink w:anchor="ref8" w:history="1">
        <w:r w:rsidRPr="003A2146">
          <w:rPr>
            <w:rFonts w:ascii="Calibri" w:eastAsia="Times New Roman" w:hAnsi="Calibri" w:cs="Calibri"/>
          </w:rPr>
          <w:t>[8]</w:t>
        </w:r>
      </w:hyperlink>
      <w:r w:rsidRPr="003A2146">
        <w:rPr>
          <w:rFonts w:ascii="Calibri" w:eastAsia="Times New Roman" w:hAnsi="Calibri" w:cs="Calibri"/>
        </w:rPr>
        <w:t xml:space="preserve">, </w:t>
      </w:r>
      <w:hyperlink w:anchor="ref9" w:history="1">
        <w:r w:rsidRPr="003A2146">
          <w:rPr>
            <w:rFonts w:ascii="Calibri" w:eastAsia="Times New Roman" w:hAnsi="Calibri" w:cs="Calibri"/>
          </w:rPr>
          <w:t>[9]</w:t>
        </w:r>
      </w:hyperlink>
      <w:r w:rsidRPr="003A2146">
        <w:rPr>
          <w:rFonts w:ascii="Calibri" w:eastAsia="Times New Roman" w:hAnsi="Calibri" w:cs="Calibri"/>
        </w:rPr>
        <w:t xml:space="preserve">. Fourth, and most significantly, AGI is not simply GPAI at a larger scale. Cheng and Gong argue that AGI calls for an overhauled regulatory paradigm rather than an extension of existing frameworks </w:t>
      </w:r>
      <w:hyperlink w:anchor="ref13" w:history="1">
        <w:r w:rsidRPr="003A2146">
          <w:rPr>
            <w:rFonts w:ascii="Calibri" w:eastAsia="Times New Roman" w:hAnsi="Calibri" w:cs="Calibri"/>
          </w:rPr>
          <w:t>[13]</w:t>
        </w:r>
      </w:hyperlink>
      <w:r w:rsidRPr="003A2146">
        <w:rPr>
          <w:rFonts w:ascii="Calibri" w:eastAsia="Times New Roman" w:hAnsi="Calibri" w:cs="Calibri"/>
        </w:rPr>
        <w:t>, and on this measure, the Guidance has made no attempt to respond at all.</w:t>
      </w:r>
    </w:p>
    <w:p w14:paraId="1EC5784E" w14:textId="77777777" w:rsidR="001C71A1" w:rsidRPr="003A2146" w:rsidRDefault="001C71A1" w:rsidP="001C71A1">
      <w:pPr>
        <w:rPr>
          <w:rFonts w:ascii="Calibri" w:hAnsi="Calibri" w:cs="Calibri"/>
          <w:i/>
          <w:iCs/>
        </w:rPr>
      </w:pPr>
      <w:r w:rsidRPr="003A2146">
        <w:rPr>
          <w:rFonts w:ascii="Calibri" w:hAnsi="Calibri" w:cs="Calibri"/>
          <w:i/>
          <w:iCs/>
        </w:rPr>
        <w:t>Table 2. Summary comparison of the three frameworks examined</w:t>
      </w:r>
    </w:p>
    <w:tbl>
      <w:tblPr>
        <w:tblW w:w="0" w:type="auto"/>
        <w:tblCellMar>
          <w:top w:w="15" w:type="dxa"/>
          <w:left w:w="15" w:type="dxa"/>
          <w:bottom w:w="15" w:type="dxa"/>
          <w:right w:w="15" w:type="dxa"/>
        </w:tblCellMar>
        <w:tblLook w:val="04A0" w:firstRow="1" w:lastRow="0" w:firstColumn="1" w:lastColumn="0" w:noHBand="0" w:noVBand="1"/>
      </w:tblPr>
      <w:tblGrid>
        <w:gridCol w:w="2060"/>
        <w:gridCol w:w="900"/>
        <w:gridCol w:w="2610"/>
        <w:gridCol w:w="1620"/>
        <w:gridCol w:w="1980"/>
      </w:tblGrid>
      <w:tr w:rsidR="00C133C2" w:rsidRPr="003A2146" w14:paraId="64CCF3FF" w14:textId="77777777" w:rsidTr="00B5307D">
        <w:trPr>
          <w:trHeight w:val="465"/>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FD75F4" w14:textId="77777777" w:rsidR="00C133C2" w:rsidRPr="003A2146" w:rsidRDefault="00C133C2" w:rsidP="00C133C2">
            <w:pPr>
              <w:rPr>
                <w:rFonts w:ascii="Calibri" w:hAnsi="Calibri" w:cs="Calibri"/>
              </w:rPr>
            </w:pPr>
            <w:r w:rsidRPr="003A2146">
              <w:rPr>
                <w:rFonts w:ascii="Calibri" w:hAnsi="Calibri" w:cs="Calibri"/>
                <w:b/>
                <w:bCs/>
              </w:rPr>
              <w:t>Framework</w:t>
            </w:r>
          </w:p>
        </w:tc>
        <w:tc>
          <w:tcPr>
            <w:tcW w:w="9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A2FA65" w14:textId="77777777" w:rsidR="00C133C2" w:rsidRPr="003A2146" w:rsidRDefault="00C133C2" w:rsidP="00C133C2">
            <w:pPr>
              <w:rPr>
                <w:rFonts w:ascii="Calibri" w:hAnsi="Calibri" w:cs="Calibri"/>
              </w:rPr>
            </w:pPr>
            <w:r w:rsidRPr="003A2146">
              <w:rPr>
                <w:rFonts w:ascii="Calibri" w:hAnsi="Calibri" w:cs="Calibri"/>
                <w:b/>
                <w:bCs/>
              </w:rPr>
              <w:t>Binding</w:t>
            </w:r>
          </w:p>
        </w:tc>
        <w:tc>
          <w:tcPr>
            <w:tcW w:w="26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A6CBCB3" w14:textId="77777777" w:rsidR="00C133C2" w:rsidRPr="003A2146" w:rsidRDefault="00C133C2" w:rsidP="00C133C2">
            <w:pPr>
              <w:rPr>
                <w:rFonts w:ascii="Calibri" w:hAnsi="Calibri" w:cs="Calibri"/>
              </w:rPr>
            </w:pPr>
            <w:r w:rsidRPr="003A2146">
              <w:rPr>
                <w:rFonts w:ascii="Calibri" w:hAnsi="Calibri" w:cs="Calibri"/>
                <w:b/>
                <w:bCs/>
              </w:rPr>
              <w:t>Formal risk tier</w:t>
            </w:r>
          </w:p>
        </w:tc>
        <w:tc>
          <w:tcPr>
            <w:tcW w:w="16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8FE7DB" w14:textId="77777777" w:rsidR="00C133C2" w:rsidRPr="003A2146" w:rsidRDefault="00C133C2" w:rsidP="00C133C2">
            <w:pPr>
              <w:rPr>
                <w:rFonts w:ascii="Calibri" w:hAnsi="Calibri" w:cs="Calibri"/>
              </w:rPr>
            </w:pPr>
            <w:r w:rsidRPr="003A2146">
              <w:rPr>
                <w:rFonts w:ascii="Calibri" w:hAnsi="Calibri" w:cs="Calibri"/>
                <w:b/>
                <w:bCs/>
              </w:rPr>
              <w:t>GPAI clauses</w:t>
            </w:r>
          </w:p>
        </w:tc>
        <w:tc>
          <w:tcPr>
            <w:tcW w:w="1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BEABAE" w14:textId="77777777" w:rsidR="00C133C2" w:rsidRPr="003A2146" w:rsidRDefault="00C133C2" w:rsidP="00C133C2">
            <w:pPr>
              <w:rPr>
                <w:rFonts w:ascii="Calibri" w:hAnsi="Calibri" w:cs="Calibri"/>
              </w:rPr>
            </w:pPr>
            <w:r w:rsidRPr="003A2146">
              <w:rPr>
                <w:rFonts w:ascii="Calibri" w:hAnsi="Calibri" w:cs="Calibri"/>
                <w:b/>
                <w:bCs/>
              </w:rPr>
              <w:t>AGI addressed</w:t>
            </w:r>
          </w:p>
        </w:tc>
      </w:tr>
      <w:tr w:rsidR="00C133C2" w:rsidRPr="003A2146" w14:paraId="675FD3EF" w14:textId="77777777" w:rsidTr="00B5307D">
        <w:trPr>
          <w:trHeight w:val="465"/>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B969E9" w14:textId="77777777" w:rsidR="00C133C2" w:rsidRPr="003A2146" w:rsidRDefault="00C133C2" w:rsidP="00C133C2">
            <w:pPr>
              <w:rPr>
                <w:rFonts w:ascii="Calibri" w:hAnsi="Calibri" w:cs="Calibri"/>
              </w:rPr>
            </w:pPr>
            <w:r w:rsidRPr="003A2146">
              <w:rPr>
                <w:rFonts w:ascii="Calibri" w:hAnsi="Calibri" w:cs="Calibri"/>
              </w:rPr>
              <w:t>Australia: Guidance</w:t>
            </w:r>
          </w:p>
        </w:tc>
        <w:tc>
          <w:tcPr>
            <w:tcW w:w="9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20D52D" w14:textId="77777777" w:rsidR="00C133C2" w:rsidRPr="003A2146" w:rsidRDefault="00C133C2" w:rsidP="00C133C2">
            <w:pPr>
              <w:rPr>
                <w:rFonts w:ascii="Calibri" w:hAnsi="Calibri" w:cs="Calibri"/>
              </w:rPr>
            </w:pPr>
            <w:r w:rsidRPr="003A2146">
              <w:rPr>
                <w:rFonts w:ascii="Calibri" w:hAnsi="Calibri" w:cs="Calibri"/>
              </w:rPr>
              <w:t>No</w:t>
            </w:r>
          </w:p>
        </w:tc>
        <w:tc>
          <w:tcPr>
            <w:tcW w:w="26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79F0EC4" w14:textId="61C8715C" w:rsidR="00C133C2" w:rsidRPr="003A2146" w:rsidRDefault="00C133C2" w:rsidP="00C133C2">
            <w:pPr>
              <w:rPr>
                <w:rFonts w:ascii="Calibri" w:hAnsi="Calibri" w:cs="Calibri"/>
              </w:rPr>
            </w:pPr>
            <w:r w:rsidRPr="003A2146">
              <w:rPr>
                <w:rFonts w:ascii="Calibri" w:hAnsi="Calibri" w:cs="Calibri"/>
              </w:rPr>
              <w:t>No (organisation-led</w:t>
            </w:r>
            <w:r w:rsidR="00B5307D" w:rsidRPr="003A2146">
              <w:rPr>
                <w:rFonts w:ascii="Calibri" w:hAnsi="Calibri" w:cs="Calibri"/>
              </w:rPr>
              <w:t xml:space="preserve"> </w:t>
            </w:r>
            <w:r w:rsidRPr="003A2146">
              <w:rPr>
                <w:rFonts w:ascii="Calibri" w:hAnsi="Calibri" w:cs="Calibri"/>
              </w:rPr>
              <w:t>triage)</w:t>
            </w:r>
          </w:p>
        </w:tc>
        <w:tc>
          <w:tcPr>
            <w:tcW w:w="16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C0652DD" w14:textId="77777777" w:rsidR="00C133C2" w:rsidRPr="003A2146" w:rsidRDefault="00C133C2" w:rsidP="00C133C2">
            <w:pPr>
              <w:rPr>
                <w:rFonts w:ascii="Calibri" w:hAnsi="Calibri" w:cs="Calibri"/>
              </w:rPr>
            </w:pPr>
            <w:r w:rsidRPr="003A2146">
              <w:rPr>
                <w:rFonts w:ascii="Calibri" w:hAnsi="Calibri" w:cs="Calibri"/>
              </w:rPr>
              <w:t>Yes</w:t>
            </w:r>
          </w:p>
        </w:tc>
        <w:tc>
          <w:tcPr>
            <w:tcW w:w="1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9A5C412" w14:textId="77777777" w:rsidR="00C133C2" w:rsidRPr="003A2146" w:rsidRDefault="00C133C2" w:rsidP="00C133C2">
            <w:pPr>
              <w:rPr>
                <w:rFonts w:ascii="Calibri" w:hAnsi="Calibri" w:cs="Calibri"/>
              </w:rPr>
            </w:pPr>
            <w:r w:rsidRPr="003A2146">
              <w:rPr>
                <w:rFonts w:ascii="Calibri" w:hAnsi="Calibri" w:cs="Calibri"/>
              </w:rPr>
              <w:t>No</w:t>
            </w:r>
          </w:p>
        </w:tc>
      </w:tr>
      <w:tr w:rsidR="00C133C2" w:rsidRPr="003A2146" w14:paraId="4B088A08" w14:textId="77777777" w:rsidTr="00B5307D">
        <w:trPr>
          <w:trHeight w:val="465"/>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2525928" w14:textId="77777777" w:rsidR="00C133C2" w:rsidRPr="003A2146" w:rsidRDefault="00C133C2" w:rsidP="00C133C2">
            <w:pPr>
              <w:rPr>
                <w:rFonts w:ascii="Calibri" w:hAnsi="Calibri" w:cs="Calibri"/>
              </w:rPr>
            </w:pPr>
            <w:r w:rsidRPr="003A2146">
              <w:rPr>
                <w:rFonts w:ascii="Calibri" w:hAnsi="Calibri" w:cs="Calibri"/>
              </w:rPr>
              <w:t>Malaysia: AIGE</w:t>
            </w:r>
          </w:p>
        </w:tc>
        <w:tc>
          <w:tcPr>
            <w:tcW w:w="9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332B80" w14:textId="77777777" w:rsidR="00C133C2" w:rsidRPr="003A2146" w:rsidRDefault="00C133C2" w:rsidP="00C133C2">
            <w:pPr>
              <w:rPr>
                <w:rFonts w:ascii="Calibri" w:hAnsi="Calibri" w:cs="Calibri"/>
              </w:rPr>
            </w:pPr>
            <w:r w:rsidRPr="003A2146">
              <w:rPr>
                <w:rFonts w:ascii="Calibri" w:hAnsi="Calibri" w:cs="Calibri"/>
              </w:rPr>
              <w:t>No</w:t>
            </w:r>
          </w:p>
        </w:tc>
        <w:tc>
          <w:tcPr>
            <w:tcW w:w="26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188A6B" w14:textId="77777777" w:rsidR="00C133C2" w:rsidRPr="003A2146" w:rsidRDefault="00C133C2" w:rsidP="00C133C2">
            <w:pPr>
              <w:rPr>
                <w:rFonts w:ascii="Calibri" w:hAnsi="Calibri" w:cs="Calibri"/>
              </w:rPr>
            </w:pPr>
            <w:r w:rsidRPr="003A2146">
              <w:rPr>
                <w:rFonts w:ascii="Calibri" w:hAnsi="Calibri" w:cs="Calibri"/>
              </w:rPr>
              <w:t>No</w:t>
            </w:r>
          </w:p>
        </w:tc>
        <w:tc>
          <w:tcPr>
            <w:tcW w:w="16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82F833" w14:textId="77777777" w:rsidR="00C133C2" w:rsidRPr="003A2146" w:rsidRDefault="00C133C2" w:rsidP="00C133C2">
            <w:pPr>
              <w:rPr>
                <w:rFonts w:ascii="Calibri" w:hAnsi="Calibri" w:cs="Calibri"/>
              </w:rPr>
            </w:pPr>
            <w:r w:rsidRPr="003A2146">
              <w:rPr>
                <w:rFonts w:ascii="Calibri" w:hAnsi="Calibri" w:cs="Calibri"/>
              </w:rPr>
              <w:t>Deferred</w:t>
            </w:r>
          </w:p>
        </w:tc>
        <w:tc>
          <w:tcPr>
            <w:tcW w:w="1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788164" w14:textId="77777777" w:rsidR="00C133C2" w:rsidRPr="003A2146" w:rsidRDefault="00C133C2" w:rsidP="00C133C2">
            <w:pPr>
              <w:rPr>
                <w:rFonts w:ascii="Calibri" w:hAnsi="Calibri" w:cs="Calibri"/>
              </w:rPr>
            </w:pPr>
            <w:r w:rsidRPr="003A2146">
              <w:rPr>
                <w:rFonts w:ascii="Calibri" w:hAnsi="Calibri" w:cs="Calibri"/>
              </w:rPr>
              <w:t>Descriptive only</w:t>
            </w:r>
          </w:p>
        </w:tc>
      </w:tr>
      <w:tr w:rsidR="00C133C2" w:rsidRPr="003A2146" w14:paraId="771662A5" w14:textId="77777777" w:rsidTr="00B5307D">
        <w:trPr>
          <w:trHeight w:val="465"/>
        </w:trPr>
        <w:tc>
          <w:tcPr>
            <w:tcW w:w="20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1A4314C" w14:textId="77777777" w:rsidR="00C133C2" w:rsidRPr="003A2146" w:rsidRDefault="00C133C2" w:rsidP="00C133C2">
            <w:pPr>
              <w:rPr>
                <w:rFonts w:ascii="Calibri" w:hAnsi="Calibri" w:cs="Calibri"/>
              </w:rPr>
            </w:pPr>
            <w:r w:rsidRPr="003A2146">
              <w:rPr>
                <w:rFonts w:ascii="Calibri" w:hAnsi="Calibri" w:cs="Calibri"/>
              </w:rPr>
              <w:t>EU: AI Act</w:t>
            </w:r>
          </w:p>
        </w:tc>
        <w:tc>
          <w:tcPr>
            <w:tcW w:w="9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03E2AA" w14:textId="77777777" w:rsidR="00C133C2" w:rsidRPr="003A2146" w:rsidRDefault="00C133C2" w:rsidP="00C133C2">
            <w:pPr>
              <w:rPr>
                <w:rFonts w:ascii="Calibri" w:hAnsi="Calibri" w:cs="Calibri"/>
              </w:rPr>
            </w:pPr>
            <w:r w:rsidRPr="003A2146">
              <w:rPr>
                <w:rFonts w:ascii="Calibri" w:hAnsi="Calibri" w:cs="Calibri"/>
              </w:rPr>
              <w:t>Yes</w:t>
            </w:r>
          </w:p>
        </w:tc>
        <w:tc>
          <w:tcPr>
            <w:tcW w:w="26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1B541F" w14:textId="77777777" w:rsidR="00C133C2" w:rsidRPr="003A2146" w:rsidRDefault="00C133C2" w:rsidP="00C133C2">
            <w:pPr>
              <w:rPr>
                <w:rFonts w:ascii="Calibri" w:hAnsi="Calibri" w:cs="Calibri"/>
              </w:rPr>
            </w:pPr>
            <w:r w:rsidRPr="003A2146">
              <w:rPr>
                <w:rFonts w:ascii="Calibri" w:hAnsi="Calibri" w:cs="Calibri"/>
              </w:rPr>
              <w:t>Yes</w:t>
            </w:r>
          </w:p>
        </w:tc>
        <w:tc>
          <w:tcPr>
            <w:tcW w:w="16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77043A" w14:textId="77777777" w:rsidR="00C133C2" w:rsidRPr="003A2146" w:rsidRDefault="00C133C2" w:rsidP="00C133C2">
            <w:pPr>
              <w:rPr>
                <w:rFonts w:ascii="Calibri" w:hAnsi="Calibri" w:cs="Calibri"/>
              </w:rPr>
            </w:pPr>
            <w:r w:rsidRPr="003A2146">
              <w:rPr>
                <w:rFonts w:ascii="Calibri" w:hAnsi="Calibri" w:cs="Calibri"/>
              </w:rPr>
              <w:t>Not examined</w:t>
            </w:r>
          </w:p>
        </w:tc>
        <w:tc>
          <w:tcPr>
            <w:tcW w:w="1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E9EC2E" w14:textId="77777777" w:rsidR="00C133C2" w:rsidRPr="003A2146" w:rsidRDefault="00C133C2" w:rsidP="00C133C2">
            <w:pPr>
              <w:rPr>
                <w:rFonts w:ascii="Calibri" w:hAnsi="Calibri" w:cs="Calibri"/>
              </w:rPr>
            </w:pPr>
            <w:r w:rsidRPr="003A2146">
              <w:rPr>
                <w:rFonts w:ascii="Calibri" w:hAnsi="Calibri" w:cs="Calibri"/>
              </w:rPr>
              <w:t>Not examined</w:t>
            </w:r>
          </w:p>
        </w:tc>
      </w:tr>
    </w:tbl>
    <w:p w14:paraId="6E0FF47A" w14:textId="77777777" w:rsidR="00C133C2" w:rsidRPr="003A2146" w:rsidRDefault="00C133C2" w:rsidP="001C71A1">
      <w:pPr>
        <w:rPr>
          <w:rFonts w:ascii="Calibri" w:hAnsi="Calibri" w:cs="Calibri"/>
          <w:b/>
          <w:bCs/>
        </w:rPr>
      </w:pPr>
    </w:p>
    <w:p w14:paraId="2E45BD60" w14:textId="0633033D" w:rsidR="001C71A1" w:rsidRPr="003A2146" w:rsidRDefault="001C71A1" w:rsidP="00C133C2">
      <w:pPr>
        <w:pStyle w:val="Heading2"/>
        <w:rPr>
          <w:rFonts w:ascii="Calibri" w:hAnsi="Calibri" w:cs="Calibri"/>
        </w:rPr>
      </w:pPr>
      <w:bookmarkStart w:id="12" w:name="_Toc242652894"/>
      <w:r w:rsidRPr="003A2146">
        <w:rPr>
          <w:rFonts w:ascii="Calibri" w:hAnsi="Calibri" w:cs="Calibri"/>
        </w:rPr>
        <w:t>3.2 Recommendations</w:t>
      </w:r>
      <w:bookmarkEnd w:id="12"/>
    </w:p>
    <w:p w14:paraId="6FAC91B4" w14:textId="0F680DAA" w:rsidR="001C71A1" w:rsidRPr="003A2146" w:rsidRDefault="003A2146" w:rsidP="003A2146">
      <w:pPr>
        <w:spacing w:line="312" w:lineRule="auto"/>
        <w:jc w:val="both"/>
        <w:rPr>
          <w:rFonts w:ascii="Calibri" w:hAnsi="Calibri" w:cs="Calibri"/>
        </w:rPr>
      </w:pPr>
      <w:r w:rsidRPr="003A2146">
        <w:rPr>
          <w:rFonts w:ascii="Calibri" w:eastAsia="Times New Roman" w:hAnsi="Calibri" w:cs="Calibri"/>
        </w:rPr>
        <w:t xml:space="preserve">First, if Australia remains committed to voluntary governance, it should design its soft law deliberately rather than default to market-led deference. Comparative work on Singapore’s approach shows a voluntary framework paired with general law as a backstop, though the same work finds that this combination still leaves coverage gaps that need ongoing refinement </w:t>
      </w:r>
      <w:hyperlink w:anchor="ref17" w:history="1">
        <w:r w:rsidRPr="003A2146">
          <w:rPr>
            <w:rFonts w:ascii="Calibri" w:eastAsia="Times New Roman" w:hAnsi="Calibri" w:cs="Calibri"/>
          </w:rPr>
          <w:t>[17]</w:t>
        </w:r>
      </w:hyperlink>
      <w:r w:rsidRPr="003A2146">
        <w:rPr>
          <w:rFonts w:ascii="Calibri" w:eastAsia="Times New Roman" w:hAnsi="Calibri" w:cs="Calibri"/>
        </w:rPr>
        <w:t xml:space="preserve">. Assurance and oversight could therefore be attached to the Guidance, for example through government procurement conditions and the AI Safety Institute, which currently monitors, tests and advises but does not enforce. Second, the Guidance should define high-risk AI and introduce a genuine capability-based tier, since risk-tailored management is needed across minimal- to high-risk contexts, including GPAI </w:t>
      </w:r>
      <w:hyperlink w:anchor="ref18" w:history="1">
        <w:r w:rsidRPr="003A2146">
          <w:rPr>
            <w:rFonts w:ascii="Calibri" w:eastAsia="Times New Roman" w:hAnsi="Calibri" w:cs="Calibri"/>
          </w:rPr>
          <w:t>[18]</w:t>
        </w:r>
      </w:hyperlink>
      <w:r w:rsidRPr="003A2146">
        <w:rPr>
          <w:rFonts w:ascii="Calibri" w:eastAsia="Times New Roman" w:hAnsi="Calibri" w:cs="Calibri"/>
        </w:rPr>
        <w:t xml:space="preserve">. Third, any new obligations should target AI-specific risk sources, such as data quality and automation bias, rather than adding further process and documentation requirements, avoiding the imbalance already found in the EU AI Act </w:t>
      </w:r>
      <w:hyperlink w:anchor="ref7" w:history="1">
        <w:r w:rsidRPr="003A2146">
          <w:rPr>
            <w:rFonts w:ascii="Calibri" w:eastAsia="Times New Roman" w:hAnsi="Calibri" w:cs="Calibri"/>
          </w:rPr>
          <w:t>[7]</w:t>
        </w:r>
      </w:hyperlink>
      <w:r w:rsidRPr="003A2146">
        <w:rPr>
          <w:rFonts w:ascii="Calibri" w:eastAsia="Times New Roman" w:hAnsi="Calibri" w:cs="Calibri"/>
        </w:rPr>
        <w:t xml:space="preserve">. Fourth, and most urgently given the finding in Section 2.4, the Guidance should include an explicit AGI horizon-scanning and review mechanism built as its own framework rather than appended to the GPAI provisions, in line with the argument that AGI needs a distinct regulatory approach </w:t>
      </w:r>
      <w:hyperlink w:anchor="ref13" w:history="1">
        <w:r w:rsidRPr="003A2146">
          <w:rPr>
            <w:rFonts w:ascii="Calibri" w:eastAsia="Times New Roman" w:hAnsi="Calibri" w:cs="Calibri"/>
          </w:rPr>
          <w:t>[13]</w:t>
        </w:r>
      </w:hyperlink>
      <w:r w:rsidRPr="003A2146">
        <w:rPr>
          <w:rFonts w:ascii="Calibri" w:eastAsia="Times New Roman" w:hAnsi="Calibri" w:cs="Calibri"/>
        </w:rPr>
        <w:t>.</w:t>
      </w:r>
    </w:p>
    <w:p w14:paraId="21B6E113" w14:textId="0D9A2257" w:rsidR="008C1F0B" w:rsidRPr="003A2146" w:rsidRDefault="008C1F0B" w:rsidP="008C1F0B">
      <w:pPr>
        <w:pStyle w:val="Heading1"/>
        <w:rPr>
          <w:rFonts w:ascii="Calibri" w:hAnsi="Calibri" w:cs="Calibri"/>
        </w:rPr>
      </w:pPr>
      <w:bookmarkStart w:id="13" w:name="_Toc242652895"/>
      <w:r w:rsidRPr="003A2146">
        <w:rPr>
          <w:rFonts w:ascii="Calibri" w:hAnsi="Calibri" w:cs="Calibri"/>
        </w:rPr>
        <w:lastRenderedPageBreak/>
        <w:t>Acknowledgements/Resources</w:t>
      </w:r>
      <w:bookmarkEnd w:id="13"/>
    </w:p>
    <w:p w14:paraId="2CE2B983" w14:textId="24F8268D" w:rsidR="0003507C" w:rsidRPr="003A2146" w:rsidRDefault="0003507C" w:rsidP="005335B0">
      <w:pPr>
        <w:jc w:val="both"/>
        <w:rPr>
          <w:rFonts w:ascii="Calibri" w:hAnsi="Calibri" w:cs="Calibri"/>
        </w:rPr>
      </w:pPr>
      <w:r w:rsidRPr="003A2146">
        <w:rPr>
          <w:rFonts w:ascii="Calibri" w:hAnsi="Calibri" w:cs="Calibri"/>
        </w:rPr>
        <w:t>I used Gemini to explain the research papers and policy documents I selected, and to recommend what to write about in each section. I then used it to verify that my content was accurate and well supported, and to check that my IEEE citations and reference list were formatted and ordered correctly. I chose the topic and all of the sources, and I checked and approved the final text myself. I also used Grammarly to correct the grammar, spelling and wording of my final text. I also used Github as a repository for recording progress.</w:t>
      </w:r>
    </w:p>
    <w:p w14:paraId="532BF58A" w14:textId="6E2A4FDC" w:rsidR="0003507C" w:rsidRPr="003A2146" w:rsidRDefault="0003507C" w:rsidP="008C1F0B">
      <w:pPr>
        <w:rPr>
          <w:rFonts w:ascii="Calibri" w:hAnsi="Calibri" w:cs="Calibri"/>
        </w:rPr>
      </w:pPr>
      <w:r w:rsidRPr="003A2146">
        <w:rPr>
          <w:rFonts w:ascii="Calibri" w:hAnsi="Calibri" w:cs="Calibri"/>
        </w:rPr>
        <w:t xml:space="preserve">Link to Gemini chat: </w:t>
      </w:r>
      <w:hyperlink r:id="rId8" w:history="1">
        <w:r w:rsidR="00271F32" w:rsidRPr="00271F32">
          <w:rPr>
            <w:rStyle w:val="Hyperlink"/>
            <w:rFonts w:ascii="Calibri" w:hAnsi="Calibri" w:cs="Calibri"/>
          </w:rPr>
          <w:t>https://share.gemini.google/nWwolRPc3YBN</w:t>
        </w:r>
      </w:hyperlink>
    </w:p>
    <w:p w14:paraId="15738929" w14:textId="3E17047E" w:rsidR="0003507C" w:rsidRPr="003A2146" w:rsidRDefault="0003507C" w:rsidP="008C1F0B">
      <w:pPr>
        <w:rPr>
          <w:rFonts w:ascii="Calibri" w:hAnsi="Calibri" w:cs="Calibri"/>
        </w:rPr>
      </w:pPr>
      <w:r w:rsidRPr="003A2146">
        <w:rPr>
          <w:rFonts w:ascii="Calibri" w:hAnsi="Calibri" w:cs="Calibri"/>
        </w:rPr>
        <w:t>Link to Github repository:</w:t>
      </w:r>
      <w:r w:rsidR="001B19E9">
        <w:rPr>
          <w:rFonts w:ascii="Calibri" w:hAnsi="Calibri" w:cs="Calibri"/>
        </w:rPr>
        <w:t xml:space="preserve"> </w:t>
      </w:r>
      <w:hyperlink r:id="rId9" w:history="1">
        <w:r w:rsidR="005335B0" w:rsidRPr="005335B0">
          <w:rPr>
            <w:rStyle w:val="Hyperlink"/>
            <w:rFonts w:ascii="Calibri" w:hAnsi="Calibri" w:cs="Calibri"/>
          </w:rPr>
          <w:t>https://github.com/hsyn-ali/COS30019-Report</w:t>
        </w:r>
      </w:hyperlink>
    </w:p>
    <w:p w14:paraId="331535D3" w14:textId="77777777" w:rsidR="0003507C" w:rsidRPr="003A2146" w:rsidRDefault="0003507C" w:rsidP="008C1F0B">
      <w:pPr>
        <w:rPr>
          <w:rFonts w:ascii="Calibri" w:hAnsi="Calibri" w:cs="Calibri"/>
        </w:rPr>
      </w:pPr>
    </w:p>
    <w:p w14:paraId="75563375" w14:textId="77777777" w:rsidR="00C133C2" w:rsidRPr="003A2146" w:rsidRDefault="00C133C2" w:rsidP="00C133C2">
      <w:pPr>
        <w:jc w:val="both"/>
        <w:rPr>
          <w:rFonts w:ascii="Calibri" w:hAnsi="Calibri" w:cs="Calibri"/>
        </w:rPr>
      </w:pPr>
    </w:p>
    <w:p w14:paraId="0CEF127F" w14:textId="77777777" w:rsidR="00C133C2" w:rsidRDefault="00C133C2" w:rsidP="00C133C2">
      <w:pPr>
        <w:jc w:val="both"/>
        <w:rPr>
          <w:rFonts w:ascii="Calibri" w:hAnsi="Calibri" w:cs="Calibri"/>
        </w:rPr>
      </w:pPr>
    </w:p>
    <w:p w14:paraId="09BF1E77" w14:textId="77777777" w:rsidR="00294FA5" w:rsidRDefault="00294FA5" w:rsidP="00C133C2">
      <w:pPr>
        <w:jc w:val="both"/>
        <w:rPr>
          <w:rFonts w:ascii="Calibri" w:hAnsi="Calibri" w:cs="Calibri"/>
        </w:rPr>
      </w:pPr>
    </w:p>
    <w:p w14:paraId="1D901F5A" w14:textId="77777777" w:rsidR="00294FA5" w:rsidRDefault="00294FA5" w:rsidP="00C133C2">
      <w:pPr>
        <w:jc w:val="both"/>
        <w:rPr>
          <w:rFonts w:ascii="Calibri" w:hAnsi="Calibri" w:cs="Calibri"/>
        </w:rPr>
      </w:pPr>
    </w:p>
    <w:p w14:paraId="6266FE8C" w14:textId="77777777" w:rsidR="00294FA5" w:rsidRDefault="00294FA5" w:rsidP="00C133C2">
      <w:pPr>
        <w:jc w:val="both"/>
        <w:rPr>
          <w:rFonts w:ascii="Calibri" w:hAnsi="Calibri" w:cs="Calibri"/>
        </w:rPr>
      </w:pPr>
    </w:p>
    <w:p w14:paraId="28BDCEA5" w14:textId="77777777" w:rsidR="00294FA5" w:rsidRDefault="00294FA5" w:rsidP="00C133C2">
      <w:pPr>
        <w:jc w:val="both"/>
        <w:rPr>
          <w:rFonts w:ascii="Calibri" w:hAnsi="Calibri" w:cs="Calibri"/>
        </w:rPr>
      </w:pPr>
    </w:p>
    <w:p w14:paraId="578310F2" w14:textId="77777777" w:rsidR="00294FA5" w:rsidRDefault="00294FA5" w:rsidP="00C133C2">
      <w:pPr>
        <w:jc w:val="both"/>
        <w:rPr>
          <w:rFonts w:ascii="Calibri" w:hAnsi="Calibri" w:cs="Calibri"/>
        </w:rPr>
      </w:pPr>
    </w:p>
    <w:p w14:paraId="16319783" w14:textId="77777777" w:rsidR="00294FA5" w:rsidRDefault="00294FA5" w:rsidP="00C133C2">
      <w:pPr>
        <w:jc w:val="both"/>
        <w:rPr>
          <w:rFonts w:ascii="Calibri" w:hAnsi="Calibri" w:cs="Calibri"/>
        </w:rPr>
      </w:pPr>
    </w:p>
    <w:p w14:paraId="77F98532" w14:textId="77777777" w:rsidR="00294FA5" w:rsidRDefault="00294FA5" w:rsidP="00C133C2">
      <w:pPr>
        <w:jc w:val="both"/>
        <w:rPr>
          <w:rFonts w:ascii="Calibri" w:hAnsi="Calibri" w:cs="Calibri"/>
        </w:rPr>
      </w:pPr>
    </w:p>
    <w:p w14:paraId="5E886614" w14:textId="77777777" w:rsidR="00294FA5" w:rsidRDefault="00294FA5" w:rsidP="00C133C2">
      <w:pPr>
        <w:jc w:val="both"/>
        <w:rPr>
          <w:rFonts w:ascii="Calibri" w:hAnsi="Calibri" w:cs="Calibri"/>
        </w:rPr>
      </w:pPr>
    </w:p>
    <w:p w14:paraId="720DC957" w14:textId="77777777" w:rsidR="00294FA5" w:rsidRDefault="00294FA5" w:rsidP="00C133C2">
      <w:pPr>
        <w:jc w:val="both"/>
        <w:rPr>
          <w:rFonts w:ascii="Calibri" w:hAnsi="Calibri" w:cs="Calibri"/>
        </w:rPr>
      </w:pPr>
    </w:p>
    <w:p w14:paraId="4CE6DABA" w14:textId="77777777" w:rsidR="00294FA5" w:rsidRDefault="00294FA5" w:rsidP="00C133C2">
      <w:pPr>
        <w:jc w:val="both"/>
        <w:rPr>
          <w:rFonts w:ascii="Calibri" w:hAnsi="Calibri" w:cs="Calibri"/>
        </w:rPr>
      </w:pPr>
    </w:p>
    <w:p w14:paraId="28DBF771" w14:textId="77777777" w:rsidR="00294FA5" w:rsidRDefault="00294FA5" w:rsidP="00C133C2">
      <w:pPr>
        <w:jc w:val="both"/>
        <w:rPr>
          <w:rFonts w:ascii="Calibri" w:hAnsi="Calibri" w:cs="Calibri"/>
        </w:rPr>
      </w:pPr>
    </w:p>
    <w:p w14:paraId="666EA5F8" w14:textId="77777777" w:rsidR="00294FA5" w:rsidRDefault="00294FA5" w:rsidP="00C133C2">
      <w:pPr>
        <w:jc w:val="both"/>
        <w:rPr>
          <w:rFonts w:ascii="Calibri" w:hAnsi="Calibri" w:cs="Calibri"/>
        </w:rPr>
      </w:pPr>
    </w:p>
    <w:p w14:paraId="4D9C5F50" w14:textId="77777777" w:rsidR="00294FA5" w:rsidRPr="003A2146" w:rsidRDefault="00294FA5" w:rsidP="00C133C2">
      <w:pPr>
        <w:jc w:val="both"/>
        <w:rPr>
          <w:rFonts w:ascii="Calibri" w:hAnsi="Calibri" w:cs="Calibri"/>
        </w:rPr>
      </w:pPr>
    </w:p>
    <w:p w14:paraId="7587129C" w14:textId="04B0BE65" w:rsidR="00C133C2" w:rsidRPr="003A2146" w:rsidRDefault="00C133C2" w:rsidP="00C133C2">
      <w:pPr>
        <w:pStyle w:val="Heading1"/>
        <w:rPr>
          <w:rFonts w:ascii="Calibri" w:hAnsi="Calibri" w:cs="Calibri"/>
        </w:rPr>
      </w:pPr>
      <w:bookmarkStart w:id="14" w:name="_Toc242652896"/>
      <w:r w:rsidRPr="003A2146">
        <w:rPr>
          <w:rFonts w:ascii="Calibri" w:hAnsi="Calibri" w:cs="Calibri"/>
        </w:rPr>
        <w:lastRenderedPageBreak/>
        <w:t>References</w:t>
      </w:r>
      <w:bookmarkEnd w:id="14"/>
    </w:p>
    <w:p w14:paraId="06276D62" w14:textId="77777777" w:rsidR="003A2146" w:rsidRPr="003A2146" w:rsidRDefault="003A2146" w:rsidP="003A2146">
      <w:pPr>
        <w:spacing w:after="100" w:line="276" w:lineRule="auto"/>
        <w:ind w:left="567" w:hanging="567"/>
        <w:rPr>
          <w:rFonts w:ascii="Calibri" w:hAnsi="Calibri" w:cs="Calibri"/>
        </w:rPr>
      </w:pPr>
      <w:bookmarkStart w:id="15" w:name="ref1"/>
      <w:r w:rsidRPr="003A2146">
        <w:rPr>
          <w:rFonts w:ascii="Calibri" w:eastAsia="Times New Roman" w:hAnsi="Calibri" w:cs="Calibri"/>
        </w:rPr>
        <w:t>[1]</w:t>
      </w:r>
      <w:bookmarkEnd w:id="15"/>
      <w:r w:rsidRPr="003A2146">
        <w:rPr>
          <w:rFonts w:ascii="Calibri" w:eastAsia="Times New Roman" w:hAnsi="Calibri" w:cs="Calibri"/>
        </w:rPr>
        <w:t xml:space="preserve"> T. Hagendorff, “The ethics of AI ethics: An evaluation of guidelines,” </w:t>
      </w:r>
      <w:r w:rsidRPr="003A2146">
        <w:rPr>
          <w:rFonts w:ascii="Calibri" w:eastAsia="Times New Roman" w:hAnsi="Calibri" w:cs="Calibri"/>
          <w:i/>
          <w:iCs/>
        </w:rPr>
        <w:t>Minds and Machines</w:t>
      </w:r>
      <w:r w:rsidRPr="003A2146">
        <w:rPr>
          <w:rFonts w:ascii="Calibri" w:eastAsia="Times New Roman" w:hAnsi="Calibri" w:cs="Calibri"/>
        </w:rPr>
        <w:t>, vol. 30, no. 1, pp. 99–120, 2020.</w:t>
      </w:r>
    </w:p>
    <w:p w14:paraId="319C0166" w14:textId="77777777" w:rsidR="003A2146" w:rsidRPr="003A2146" w:rsidRDefault="003A2146" w:rsidP="003A2146">
      <w:pPr>
        <w:spacing w:after="100" w:line="276" w:lineRule="auto"/>
        <w:ind w:left="567" w:hanging="567"/>
        <w:rPr>
          <w:rFonts w:ascii="Calibri" w:hAnsi="Calibri" w:cs="Calibri"/>
        </w:rPr>
      </w:pPr>
      <w:bookmarkStart w:id="16" w:name="ref2"/>
      <w:r w:rsidRPr="003A2146">
        <w:rPr>
          <w:rFonts w:ascii="Calibri" w:eastAsia="Times New Roman" w:hAnsi="Calibri" w:cs="Calibri"/>
        </w:rPr>
        <w:t>[2]</w:t>
      </w:r>
      <w:bookmarkEnd w:id="16"/>
      <w:r w:rsidRPr="003A2146">
        <w:rPr>
          <w:rFonts w:ascii="Calibri" w:eastAsia="Times New Roman" w:hAnsi="Calibri" w:cs="Calibri"/>
        </w:rPr>
        <w:t xml:space="preserve"> C. I. Gutierrez, A. Aguirre, R. Uuk, C. C. Boine, and M. Franklin, “A proposal for a definition of general purpose artificial intelligence systems,” </w:t>
      </w:r>
      <w:r w:rsidRPr="003A2146">
        <w:rPr>
          <w:rFonts w:ascii="Calibri" w:eastAsia="Times New Roman" w:hAnsi="Calibri" w:cs="Calibri"/>
          <w:i/>
          <w:iCs/>
        </w:rPr>
        <w:t>Digital Society</w:t>
      </w:r>
      <w:r w:rsidRPr="003A2146">
        <w:rPr>
          <w:rFonts w:ascii="Calibri" w:eastAsia="Times New Roman" w:hAnsi="Calibri" w:cs="Calibri"/>
        </w:rPr>
        <w:t>, vol. 2, no. 36, 2023.</w:t>
      </w:r>
    </w:p>
    <w:p w14:paraId="48EE73C1" w14:textId="77777777" w:rsidR="003A2146" w:rsidRPr="003A2146" w:rsidRDefault="003A2146" w:rsidP="003A2146">
      <w:pPr>
        <w:spacing w:after="100" w:line="276" w:lineRule="auto"/>
        <w:ind w:left="567" w:hanging="567"/>
        <w:rPr>
          <w:rFonts w:ascii="Calibri" w:hAnsi="Calibri" w:cs="Calibri"/>
        </w:rPr>
      </w:pPr>
      <w:bookmarkStart w:id="17" w:name="ref3"/>
      <w:r w:rsidRPr="003A2146">
        <w:rPr>
          <w:rFonts w:ascii="Calibri" w:eastAsia="Times New Roman" w:hAnsi="Calibri" w:cs="Calibri"/>
        </w:rPr>
        <w:t>[3]</w:t>
      </w:r>
      <w:bookmarkEnd w:id="17"/>
      <w:r w:rsidRPr="003A2146">
        <w:rPr>
          <w:rFonts w:ascii="Calibri" w:eastAsia="Times New Roman" w:hAnsi="Calibri" w:cs="Calibri"/>
        </w:rPr>
        <w:t xml:space="preserve"> National AI Centre, “Guidance for AI adoption,” Dept. of Industry, Science and Resources, Australian Government, Oct. 2025.</w:t>
      </w:r>
    </w:p>
    <w:p w14:paraId="7EDB9ACF" w14:textId="77777777" w:rsidR="003A2146" w:rsidRPr="003A2146" w:rsidRDefault="003A2146" w:rsidP="003A2146">
      <w:pPr>
        <w:spacing w:after="100" w:line="276" w:lineRule="auto"/>
        <w:ind w:left="567" w:hanging="567"/>
        <w:rPr>
          <w:rFonts w:ascii="Calibri" w:hAnsi="Calibri" w:cs="Calibri"/>
        </w:rPr>
      </w:pPr>
      <w:bookmarkStart w:id="18" w:name="ref4"/>
      <w:r w:rsidRPr="003A2146">
        <w:rPr>
          <w:rFonts w:ascii="Calibri" w:eastAsia="Times New Roman" w:hAnsi="Calibri" w:cs="Calibri"/>
        </w:rPr>
        <w:t>[4]</w:t>
      </w:r>
      <w:bookmarkEnd w:id="18"/>
      <w:r w:rsidRPr="003A2146">
        <w:rPr>
          <w:rFonts w:ascii="Calibri" w:eastAsia="Times New Roman" w:hAnsi="Calibri" w:cs="Calibri"/>
        </w:rPr>
        <w:t xml:space="preserve"> Dept. of Industry, Science and Resources, “Safe and responsible AI in Australia: Proposals paper for introducing mandatory guardrails for AI in high-risk settings,” Australian Government, Sept. 2024.</w:t>
      </w:r>
    </w:p>
    <w:p w14:paraId="49CF0663" w14:textId="77777777" w:rsidR="003A2146" w:rsidRPr="003A2146" w:rsidRDefault="003A2146" w:rsidP="003A2146">
      <w:pPr>
        <w:spacing w:after="100" w:line="276" w:lineRule="auto"/>
        <w:ind w:left="567" w:hanging="567"/>
        <w:rPr>
          <w:rFonts w:ascii="Calibri" w:hAnsi="Calibri" w:cs="Calibri"/>
        </w:rPr>
      </w:pPr>
      <w:bookmarkStart w:id="19" w:name="ref5"/>
      <w:r w:rsidRPr="003A2146">
        <w:rPr>
          <w:rFonts w:ascii="Calibri" w:eastAsia="Times New Roman" w:hAnsi="Calibri" w:cs="Calibri"/>
        </w:rPr>
        <w:t>[5]</w:t>
      </w:r>
      <w:bookmarkEnd w:id="19"/>
      <w:r w:rsidRPr="003A2146">
        <w:rPr>
          <w:rFonts w:ascii="Calibri" w:eastAsia="Times New Roman" w:hAnsi="Calibri" w:cs="Calibri"/>
        </w:rPr>
        <w:t xml:space="preserve"> Dept. of Industry, Science and Resources, </w:t>
      </w:r>
      <w:r w:rsidRPr="003A2146">
        <w:rPr>
          <w:rFonts w:ascii="Calibri" w:eastAsia="Times New Roman" w:hAnsi="Calibri" w:cs="Calibri"/>
          <w:i/>
          <w:iCs/>
        </w:rPr>
        <w:t>National AI Plan</w:t>
      </w:r>
      <w:r w:rsidRPr="003A2146">
        <w:rPr>
          <w:rFonts w:ascii="Calibri" w:eastAsia="Times New Roman" w:hAnsi="Calibri" w:cs="Calibri"/>
        </w:rPr>
        <w:t>, Australian Government, Dec. 2, 2025.</w:t>
      </w:r>
    </w:p>
    <w:p w14:paraId="2634E24D" w14:textId="77777777" w:rsidR="003A2146" w:rsidRPr="003A2146" w:rsidRDefault="003A2146" w:rsidP="003A2146">
      <w:pPr>
        <w:spacing w:after="100" w:line="276" w:lineRule="auto"/>
        <w:ind w:left="567" w:hanging="567"/>
        <w:rPr>
          <w:rFonts w:ascii="Calibri" w:hAnsi="Calibri" w:cs="Calibri"/>
        </w:rPr>
      </w:pPr>
      <w:bookmarkStart w:id="20" w:name="ref6"/>
      <w:r w:rsidRPr="003A2146">
        <w:rPr>
          <w:rFonts w:ascii="Calibri" w:eastAsia="Times New Roman" w:hAnsi="Calibri" w:cs="Calibri"/>
        </w:rPr>
        <w:t>[6]</w:t>
      </w:r>
      <w:bookmarkEnd w:id="20"/>
      <w:r w:rsidRPr="003A2146">
        <w:rPr>
          <w:rFonts w:ascii="Calibri" w:eastAsia="Times New Roman" w:hAnsi="Calibri" w:cs="Calibri"/>
        </w:rPr>
        <w:t xml:space="preserve"> I. Triguero, D. Molina, J. Poyatos, J. Del Ser, and F. Herrera, “General purpose artificial intelligence systems (GPAIS): Properties, definition, taxonomy, societal implications and responsible governance,” </w:t>
      </w:r>
      <w:r w:rsidRPr="003A2146">
        <w:rPr>
          <w:rFonts w:ascii="Calibri" w:eastAsia="Times New Roman" w:hAnsi="Calibri" w:cs="Calibri"/>
          <w:i/>
          <w:iCs/>
        </w:rPr>
        <w:t>Information Fusion</w:t>
      </w:r>
      <w:r w:rsidRPr="003A2146">
        <w:rPr>
          <w:rFonts w:ascii="Calibri" w:eastAsia="Times New Roman" w:hAnsi="Calibri" w:cs="Calibri"/>
        </w:rPr>
        <w:t>, vol. 103, art. 102135, 2024.</w:t>
      </w:r>
    </w:p>
    <w:p w14:paraId="55DA71BF" w14:textId="77777777" w:rsidR="003A2146" w:rsidRPr="003A2146" w:rsidRDefault="003A2146" w:rsidP="003A2146">
      <w:pPr>
        <w:spacing w:after="100" w:line="276" w:lineRule="auto"/>
        <w:ind w:left="567" w:hanging="567"/>
        <w:rPr>
          <w:rFonts w:ascii="Calibri" w:hAnsi="Calibri" w:cs="Calibri"/>
        </w:rPr>
      </w:pPr>
      <w:bookmarkStart w:id="21" w:name="ref7"/>
      <w:r w:rsidRPr="003A2146">
        <w:rPr>
          <w:rFonts w:ascii="Calibri" w:eastAsia="Times New Roman" w:hAnsi="Calibri" w:cs="Calibri"/>
        </w:rPr>
        <w:t>[7]</w:t>
      </w:r>
      <w:bookmarkEnd w:id="21"/>
      <w:r w:rsidRPr="003A2146">
        <w:rPr>
          <w:rFonts w:ascii="Calibri" w:eastAsia="Times New Roman" w:hAnsi="Calibri" w:cs="Calibri"/>
        </w:rPr>
        <w:t xml:space="preserve"> R. Schnitzer </w:t>
      </w:r>
      <w:r w:rsidRPr="003A2146">
        <w:rPr>
          <w:rFonts w:ascii="Calibri" w:eastAsia="Times New Roman" w:hAnsi="Calibri" w:cs="Calibri"/>
          <w:i/>
          <w:iCs/>
        </w:rPr>
        <w:t>et al.</w:t>
      </w:r>
      <w:r w:rsidRPr="003A2146">
        <w:rPr>
          <w:rFonts w:ascii="Calibri" w:eastAsia="Times New Roman" w:hAnsi="Calibri" w:cs="Calibri"/>
        </w:rPr>
        <w:t>, “From legal text to AI-specific risk sources: A systematic analysis of the EU AI Act’s high-risk requirements,” arXiv:2609.13535, 2026.</w:t>
      </w:r>
    </w:p>
    <w:p w14:paraId="384A9B0E" w14:textId="77777777" w:rsidR="003A2146" w:rsidRPr="003A2146" w:rsidRDefault="003A2146" w:rsidP="003A2146">
      <w:pPr>
        <w:spacing w:after="100" w:line="276" w:lineRule="auto"/>
        <w:ind w:left="567" w:hanging="567"/>
        <w:rPr>
          <w:rFonts w:ascii="Calibri" w:hAnsi="Calibri" w:cs="Calibri"/>
        </w:rPr>
      </w:pPr>
      <w:bookmarkStart w:id="22" w:name="ref8"/>
      <w:r w:rsidRPr="003A2146">
        <w:rPr>
          <w:rFonts w:ascii="Calibri" w:eastAsia="Times New Roman" w:hAnsi="Calibri" w:cs="Calibri"/>
        </w:rPr>
        <w:t>[8]</w:t>
      </w:r>
      <w:bookmarkEnd w:id="22"/>
      <w:r w:rsidRPr="003A2146">
        <w:rPr>
          <w:rFonts w:ascii="Calibri" w:eastAsia="Times New Roman" w:hAnsi="Calibri" w:cs="Calibri"/>
        </w:rPr>
        <w:t xml:space="preserve"> J. Schwab, N. Naidoo, F. Barazzutti, S. Lee, and C. V. Machado, “Mapping general-purpose AI governance in twenty AI middle-power jurisdictions,” arXiv:2608.19278, Aug. 2026.</w:t>
      </w:r>
    </w:p>
    <w:p w14:paraId="212B4CCB" w14:textId="77777777" w:rsidR="003A2146" w:rsidRPr="003A2146" w:rsidRDefault="003A2146" w:rsidP="003A2146">
      <w:pPr>
        <w:spacing w:after="100" w:line="276" w:lineRule="auto"/>
        <w:ind w:left="567" w:hanging="567"/>
        <w:rPr>
          <w:rFonts w:ascii="Calibri" w:hAnsi="Calibri" w:cs="Calibri"/>
        </w:rPr>
      </w:pPr>
      <w:bookmarkStart w:id="23" w:name="ref9"/>
      <w:r w:rsidRPr="003A2146">
        <w:rPr>
          <w:rFonts w:ascii="Calibri" w:eastAsia="Times New Roman" w:hAnsi="Calibri" w:cs="Calibri"/>
        </w:rPr>
        <w:t>[9]</w:t>
      </w:r>
      <w:bookmarkEnd w:id="23"/>
      <w:r w:rsidRPr="003A2146">
        <w:rPr>
          <w:rFonts w:ascii="Calibri" w:eastAsia="Times New Roman" w:hAnsi="Calibri" w:cs="Calibri"/>
        </w:rPr>
        <w:t xml:space="preserve"> Ministry of Science, Technology and Innovation, </w:t>
      </w:r>
      <w:r w:rsidRPr="003A2146">
        <w:rPr>
          <w:rFonts w:ascii="Calibri" w:eastAsia="Times New Roman" w:hAnsi="Calibri" w:cs="Calibri"/>
          <w:i/>
          <w:iCs/>
        </w:rPr>
        <w:t>The National Guidelines on AI Governance &amp; Ethics</w:t>
      </w:r>
      <w:r w:rsidRPr="003A2146">
        <w:rPr>
          <w:rFonts w:ascii="Calibri" w:eastAsia="Times New Roman" w:hAnsi="Calibri" w:cs="Calibri"/>
        </w:rPr>
        <w:t>, Malaysia, 2024.</w:t>
      </w:r>
    </w:p>
    <w:p w14:paraId="152DC005" w14:textId="77777777" w:rsidR="003A2146" w:rsidRPr="003A2146" w:rsidRDefault="003A2146" w:rsidP="003A2146">
      <w:pPr>
        <w:spacing w:after="100" w:line="276" w:lineRule="auto"/>
        <w:ind w:left="567" w:hanging="567"/>
        <w:rPr>
          <w:rFonts w:ascii="Calibri" w:hAnsi="Calibri" w:cs="Calibri"/>
        </w:rPr>
      </w:pPr>
      <w:bookmarkStart w:id="24" w:name="ref10"/>
      <w:r w:rsidRPr="003A2146">
        <w:rPr>
          <w:rFonts w:ascii="Calibri" w:eastAsia="Times New Roman" w:hAnsi="Calibri" w:cs="Calibri"/>
        </w:rPr>
        <w:t>[10]</w:t>
      </w:r>
      <w:bookmarkEnd w:id="24"/>
      <w:r w:rsidRPr="003A2146">
        <w:rPr>
          <w:rFonts w:ascii="Calibri" w:eastAsia="Times New Roman" w:hAnsi="Calibri" w:cs="Calibri"/>
        </w:rPr>
        <w:t xml:space="preserve"> Dept. of the Prime Minister and Cabinet (Office of AI), “Getting it right: Building AI infrastructure that works for Australia: Consultation paper,” Australian Government, Sept. 17, 2026.</w:t>
      </w:r>
    </w:p>
    <w:p w14:paraId="172C431B" w14:textId="77777777" w:rsidR="003A2146" w:rsidRPr="003A2146" w:rsidRDefault="003A2146" w:rsidP="003A2146">
      <w:pPr>
        <w:spacing w:after="100" w:line="276" w:lineRule="auto"/>
        <w:ind w:left="567" w:hanging="567"/>
        <w:rPr>
          <w:rFonts w:ascii="Calibri" w:hAnsi="Calibri" w:cs="Calibri"/>
        </w:rPr>
      </w:pPr>
      <w:bookmarkStart w:id="25" w:name="ref11"/>
      <w:r w:rsidRPr="003A2146">
        <w:rPr>
          <w:rFonts w:ascii="Calibri" w:eastAsia="Times New Roman" w:hAnsi="Calibri" w:cs="Calibri"/>
        </w:rPr>
        <w:t>[11]</w:t>
      </w:r>
      <w:bookmarkEnd w:id="25"/>
      <w:r w:rsidRPr="003A2146">
        <w:rPr>
          <w:rFonts w:ascii="Calibri" w:eastAsia="Times New Roman" w:hAnsi="Calibri" w:cs="Calibri"/>
        </w:rPr>
        <w:t xml:space="preserve"> E. Papagiannidis, P. Mikalef, and K. Conboy, “Responsible artificial intelligence governance: A review and research framework,” </w:t>
      </w:r>
      <w:r w:rsidRPr="003A2146">
        <w:rPr>
          <w:rFonts w:ascii="Calibri" w:eastAsia="Times New Roman" w:hAnsi="Calibri" w:cs="Calibri"/>
          <w:i/>
          <w:iCs/>
        </w:rPr>
        <w:t>J. Strategic Inf. Syst.</w:t>
      </w:r>
      <w:r w:rsidRPr="003A2146">
        <w:rPr>
          <w:rFonts w:ascii="Calibri" w:eastAsia="Times New Roman" w:hAnsi="Calibri" w:cs="Calibri"/>
        </w:rPr>
        <w:t>, vol. 34, no. 2, art. 101885, 2025, doi: 10.1016/j.jsis.2024.101885.</w:t>
      </w:r>
    </w:p>
    <w:p w14:paraId="18171AA2" w14:textId="77777777" w:rsidR="003A2146" w:rsidRPr="003A2146" w:rsidRDefault="003A2146" w:rsidP="003A2146">
      <w:pPr>
        <w:spacing w:after="100" w:line="276" w:lineRule="auto"/>
        <w:ind w:left="567" w:hanging="567"/>
        <w:rPr>
          <w:rFonts w:ascii="Calibri" w:hAnsi="Calibri" w:cs="Calibri"/>
        </w:rPr>
      </w:pPr>
      <w:bookmarkStart w:id="26" w:name="ref12"/>
      <w:r w:rsidRPr="003A2146">
        <w:rPr>
          <w:rFonts w:ascii="Calibri" w:eastAsia="Times New Roman" w:hAnsi="Calibri" w:cs="Calibri"/>
        </w:rPr>
        <w:t>[12]</w:t>
      </w:r>
      <w:bookmarkEnd w:id="26"/>
      <w:r w:rsidRPr="003A2146">
        <w:rPr>
          <w:rFonts w:ascii="Calibri" w:eastAsia="Times New Roman" w:hAnsi="Calibri" w:cs="Calibri"/>
        </w:rPr>
        <w:t xml:space="preserve"> T. Birkstedt, M. Minkkinen, A. Tandon, and M. Mäntymäki, “AI governance: Themes, knowledge gaps and future agendas,” </w:t>
      </w:r>
      <w:r w:rsidRPr="003A2146">
        <w:rPr>
          <w:rFonts w:ascii="Calibri" w:eastAsia="Times New Roman" w:hAnsi="Calibri" w:cs="Calibri"/>
          <w:i/>
          <w:iCs/>
        </w:rPr>
        <w:t>Internet Research</w:t>
      </w:r>
      <w:r w:rsidRPr="003A2146">
        <w:rPr>
          <w:rFonts w:ascii="Calibri" w:eastAsia="Times New Roman" w:hAnsi="Calibri" w:cs="Calibri"/>
        </w:rPr>
        <w:t>, vol. 33, no. 7, pp. 133–167, 2023, doi: 10.1108/INTR-01-2022-0042.</w:t>
      </w:r>
    </w:p>
    <w:p w14:paraId="496578B1" w14:textId="77777777" w:rsidR="003A2146" w:rsidRPr="003A2146" w:rsidRDefault="003A2146" w:rsidP="003A2146">
      <w:pPr>
        <w:spacing w:after="100" w:line="276" w:lineRule="auto"/>
        <w:ind w:left="567" w:hanging="567"/>
        <w:rPr>
          <w:rFonts w:ascii="Calibri" w:hAnsi="Calibri" w:cs="Calibri"/>
        </w:rPr>
      </w:pPr>
      <w:bookmarkStart w:id="27" w:name="ref13"/>
      <w:r w:rsidRPr="003A2146">
        <w:rPr>
          <w:rFonts w:ascii="Calibri" w:eastAsia="Times New Roman" w:hAnsi="Calibri" w:cs="Calibri"/>
        </w:rPr>
        <w:t>[13]</w:t>
      </w:r>
      <w:bookmarkEnd w:id="27"/>
      <w:r w:rsidRPr="003A2146">
        <w:rPr>
          <w:rFonts w:ascii="Calibri" w:eastAsia="Times New Roman" w:hAnsi="Calibri" w:cs="Calibri"/>
        </w:rPr>
        <w:t xml:space="preserve"> L. Cheng and X. Gong, “Appraising regulatory framework towards artificial general intelligence (AGI) under digital humanism,” </w:t>
      </w:r>
      <w:r w:rsidRPr="003A2146">
        <w:rPr>
          <w:rFonts w:ascii="Calibri" w:eastAsia="Times New Roman" w:hAnsi="Calibri" w:cs="Calibri"/>
          <w:i/>
          <w:iCs/>
        </w:rPr>
        <w:t>Int. J. Digital Law and Governance</w:t>
      </w:r>
      <w:r w:rsidRPr="003A2146">
        <w:rPr>
          <w:rFonts w:ascii="Calibri" w:eastAsia="Times New Roman" w:hAnsi="Calibri" w:cs="Calibri"/>
        </w:rPr>
        <w:t>, vol. 1, no. 2, pp. 269–312, 2024.</w:t>
      </w:r>
    </w:p>
    <w:p w14:paraId="54D3EED9" w14:textId="77777777" w:rsidR="003A2146" w:rsidRPr="003A2146" w:rsidRDefault="003A2146" w:rsidP="003A2146">
      <w:pPr>
        <w:spacing w:after="100" w:line="276" w:lineRule="auto"/>
        <w:ind w:left="567" w:hanging="567"/>
        <w:rPr>
          <w:rFonts w:ascii="Calibri" w:hAnsi="Calibri" w:cs="Calibri"/>
        </w:rPr>
      </w:pPr>
      <w:bookmarkStart w:id="28" w:name="ref14"/>
      <w:r w:rsidRPr="003A2146">
        <w:rPr>
          <w:rFonts w:ascii="Calibri" w:eastAsia="Times New Roman" w:hAnsi="Calibri" w:cs="Calibri"/>
        </w:rPr>
        <w:lastRenderedPageBreak/>
        <w:t>[14]</w:t>
      </w:r>
      <w:bookmarkEnd w:id="28"/>
      <w:r w:rsidRPr="003A2146">
        <w:rPr>
          <w:rFonts w:ascii="Calibri" w:eastAsia="Times New Roman" w:hAnsi="Calibri" w:cs="Calibri"/>
        </w:rPr>
        <w:t xml:space="preserve"> O. Guest and K. Wei, “Bridging the artificial intelligence governance gap: The United States’ and China’s divergent approaches to governing general-purpose artificial intelligence,” RAND Corporation, Santa Monica, CA, USA, Rep. PE-A3703-1, Dec. 2024, doi: 10.7249/PEA3703-1.</w:t>
      </w:r>
    </w:p>
    <w:p w14:paraId="617EDEC9" w14:textId="77777777" w:rsidR="003A2146" w:rsidRPr="003A2146" w:rsidRDefault="003A2146" w:rsidP="003A2146">
      <w:pPr>
        <w:spacing w:after="100" w:line="276" w:lineRule="auto"/>
        <w:ind w:left="567" w:hanging="567"/>
        <w:rPr>
          <w:rFonts w:ascii="Calibri" w:hAnsi="Calibri" w:cs="Calibri"/>
        </w:rPr>
      </w:pPr>
      <w:bookmarkStart w:id="29" w:name="ref15"/>
      <w:r w:rsidRPr="003A2146">
        <w:rPr>
          <w:rFonts w:ascii="Calibri" w:eastAsia="Times New Roman" w:hAnsi="Calibri" w:cs="Calibri"/>
        </w:rPr>
        <w:t>[15]</w:t>
      </w:r>
      <w:bookmarkEnd w:id="29"/>
      <w:r w:rsidRPr="003A2146">
        <w:rPr>
          <w:rFonts w:ascii="Calibri" w:eastAsia="Times New Roman" w:hAnsi="Calibri" w:cs="Calibri"/>
        </w:rPr>
        <w:t xml:space="preserve"> H. Booth, “What the numbers show about AI’s harms,” </w:t>
      </w:r>
      <w:r w:rsidRPr="003A2146">
        <w:rPr>
          <w:rFonts w:ascii="Calibri" w:eastAsia="Times New Roman" w:hAnsi="Calibri" w:cs="Calibri"/>
          <w:i/>
          <w:iCs/>
        </w:rPr>
        <w:t>TIME</w:t>
      </w:r>
      <w:r w:rsidRPr="003A2146">
        <w:rPr>
          <w:rFonts w:ascii="Calibri" w:eastAsia="Times New Roman" w:hAnsi="Calibri" w:cs="Calibri"/>
        </w:rPr>
        <w:t>, Jan. 19, 2026. [Online]. Available: https://time.com/7346091/ai-harm-risk/</w:t>
      </w:r>
    </w:p>
    <w:p w14:paraId="5B35AAB2" w14:textId="77777777" w:rsidR="003A2146" w:rsidRPr="003A2146" w:rsidRDefault="003A2146" w:rsidP="003A2146">
      <w:pPr>
        <w:spacing w:after="100" w:line="276" w:lineRule="auto"/>
        <w:ind w:left="567" w:hanging="567"/>
        <w:rPr>
          <w:rFonts w:ascii="Calibri" w:hAnsi="Calibri" w:cs="Calibri"/>
        </w:rPr>
      </w:pPr>
      <w:bookmarkStart w:id="30" w:name="ref16"/>
      <w:r w:rsidRPr="003A2146">
        <w:rPr>
          <w:rFonts w:ascii="Calibri" w:eastAsia="Times New Roman" w:hAnsi="Calibri" w:cs="Calibri"/>
        </w:rPr>
        <w:t>[16]</w:t>
      </w:r>
      <w:bookmarkEnd w:id="30"/>
      <w:r w:rsidRPr="003A2146">
        <w:rPr>
          <w:rFonts w:ascii="Calibri" w:eastAsia="Times New Roman" w:hAnsi="Calibri" w:cs="Calibri"/>
        </w:rPr>
        <w:t xml:space="preserve"> J. De Miguel Velázquez, S. Šćepanović, A. Gvirtz, and D. Quercia, “Decoding real-world artificial intelligence incidents,” </w:t>
      </w:r>
      <w:r w:rsidRPr="003A2146">
        <w:rPr>
          <w:rFonts w:ascii="Calibri" w:eastAsia="Times New Roman" w:hAnsi="Calibri" w:cs="Calibri"/>
          <w:i/>
          <w:iCs/>
        </w:rPr>
        <w:t>Computer</w:t>
      </w:r>
      <w:r w:rsidRPr="003A2146">
        <w:rPr>
          <w:rFonts w:ascii="Calibri" w:eastAsia="Times New Roman" w:hAnsi="Calibri" w:cs="Calibri"/>
        </w:rPr>
        <w:t>, vol. 57, no. 11, pp. 71–81, Nov. 2024, doi: 10.1109/MC.2024.3432492.</w:t>
      </w:r>
    </w:p>
    <w:p w14:paraId="34E25B29" w14:textId="77777777" w:rsidR="003A2146" w:rsidRPr="003A2146" w:rsidRDefault="003A2146" w:rsidP="003A2146">
      <w:pPr>
        <w:spacing w:after="100" w:line="276" w:lineRule="auto"/>
        <w:ind w:left="567" w:hanging="567"/>
        <w:rPr>
          <w:rFonts w:ascii="Calibri" w:hAnsi="Calibri" w:cs="Calibri"/>
        </w:rPr>
      </w:pPr>
      <w:bookmarkStart w:id="31" w:name="ref17"/>
      <w:r w:rsidRPr="003A2146">
        <w:rPr>
          <w:rFonts w:ascii="Calibri" w:eastAsia="Times New Roman" w:hAnsi="Calibri" w:cs="Calibri"/>
        </w:rPr>
        <w:t>[17]</w:t>
      </w:r>
      <w:bookmarkEnd w:id="31"/>
      <w:r w:rsidRPr="003A2146">
        <w:rPr>
          <w:rFonts w:ascii="Calibri" w:eastAsia="Times New Roman" w:hAnsi="Calibri" w:cs="Calibri"/>
        </w:rPr>
        <w:t xml:space="preserve"> J. G. Allen, J. Loo, and J. Luna, “Governing intelligence: Singapore’s evolving AI governance framework,” </w:t>
      </w:r>
      <w:r w:rsidRPr="003A2146">
        <w:rPr>
          <w:rFonts w:ascii="Calibri" w:eastAsia="Times New Roman" w:hAnsi="Calibri" w:cs="Calibri"/>
          <w:i/>
          <w:iCs/>
        </w:rPr>
        <w:t>Cambridge Forum on AI: Law and Governance</w:t>
      </w:r>
      <w:r w:rsidRPr="003A2146">
        <w:rPr>
          <w:rFonts w:ascii="Calibri" w:eastAsia="Times New Roman" w:hAnsi="Calibri" w:cs="Calibri"/>
        </w:rPr>
        <w:t>, vol. 1, art. e12, 2025, doi: 10.1017/cfl.2024.12.</w:t>
      </w:r>
    </w:p>
    <w:p w14:paraId="6AD00E55" w14:textId="77777777" w:rsidR="003A2146" w:rsidRPr="003A2146" w:rsidRDefault="003A2146" w:rsidP="003A2146">
      <w:pPr>
        <w:spacing w:after="100" w:line="276" w:lineRule="auto"/>
        <w:ind w:left="567" w:hanging="567"/>
        <w:rPr>
          <w:rFonts w:ascii="Calibri" w:hAnsi="Calibri" w:cs="Calibri"/>
        </w:rPr>
      </w:pPr>
      <w:bookmarkStart w:id="32" w:name="ref18"/>
      <w:r w:rsidRPr="003A2146">
        <w:rPr>
          <w:rFonts w:ascii="Calibri" w:eastAsia="Times New Roman" w:hAnsi="Calibri" w:cs="Calibri"/>
        </w:rPr>
        <w:t>[18]</w:t>
      </w:r>
      <w:bookmarkEnd w:id="32"/>
      <w:r w:rsidRPr="003A2146">
        <w:rPr>
          <w:rFonts w:ascii="Calibri" w:eastAsia="Times New Roman" w:hAnsi="Calibri" w:cs="Calibri"/>
        </w:rPr>
        <w:t xml:space="preserve"> T. Szádeczky and Z. Bederna, “Risk, regulation, and governance: Evaluating artificial intelligence across diverse application scenarios,” </w:t>
      </w:r>
      <w:r w:rsidRPr="003A2146">
        <w:rPr>
          <w:rFonts w:ascii="Calibri" w:eastAsia="Times New Roman" w:hAnsi="Calibri" w:cs="Calibri"/>
          <w:i/>
          <w:iCs/>
        </w:rPr>
        <w:t>Security J.</w:t>
      </w:r>
      <w:r w:rsidRPr="003A2146">
        <w:rPr>
          <w:rFonts w:ascii="Calibri" w:eastAsia="Times New Roman" w:hAnsi="Calibri" w:cs="Calibri"/>
        </w:rPr>
        <w:t>, vol. 38, no. 1, art. 35, 2025, doi: 10.1057/s41284-025-00495-z.</w:t>
      </w:r>
    </w:p>
    <w:p w14:paraId="004A6E77" w14:textId="77777777" w:rsidR="00C133C2" w:rsidRPr="003A2146" w:rsidRDefault="00C133C2" w:rsidP="00C133C2">
      <w:pPr>
        <w:rPr>
          <w:rFonts w:ascii="Calibri" w:hAnsi="Calibri" w:cs="Calibri"/>
        </w:rPr>
      </w:pPr>
    </w:p>
    <w:p w14:paraId="2EBBF29D" w14:textId="427FCAED" w:rsidR="00473ADF" w:rsidRPr="003A2146" w:rsidRDefault="00473ADF" w:rsidP="007E4CC1">
      <w:pPr>
        <w:rPr>
          <w:rFonts w:ascii="Calibri" w:hAnsi="Calibri" w:cs="Calibri"/>
        </w:rPr>
      </w:pPr>
    </w:p>
    <w:sectPr w:rsidR="00473ADF" w:rsidRPr="003A2146" w:rsidSect="0078626E">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71B97" w14:textId="77777777" w:rsidR="00743560" w:rsidRDefault="00743560" w:rsidP="00294FA5">
      <w:pPr>
        <w:spacing w:after="0" w:line="240" w:lineRule="auto"/>
      </w:pPr>
      <w:r>
        <w:separator/>
      </w:r>
    </w:p>
  </w:endnote>
  <w:endnote w:type="continuationSeparator" w:id="0">
    <w:p w14:paraId="564E47CA" w14:textId="77777777" w:rsidR="00743560" w:rsidRDefault="00743560" w:rsidP="0029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188956"/>
      <w:docPartObj>
        <w:docPartGallery w:val="Page Numbers (Bottom of Page)"/>
        <w:docPartUnique/>
      </w:docPartObj>
    </w:sdtPr>
    <w:sdtEndPr>
      <w:rPr>
        <w:noProof/>
      </w:rPr>
    </w:sdtEndPr>
    <w:sdtContent>
      <w:p w14:paraId="369CEF6D" w14:textId="4D026655" w:rsidR="00294FA5" w:rsidRDefault="00294F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21C487" w14:textId="77777777" w:rsidR="00294FA5" w:rsidRDefault="0029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EFC0" w14:textId="77777777" w:rsidR="00743560" w:rsidRDefault="00743560" w:rsidP="00294FA5">
      <w:pPr>
        <w:spacing w:after="0" w:line="240" w:lineRule="auto"/>
      </w:pPr>
      <w:r>
        <w:separator/>
      </w:r>
    </w:p>
  </w:footnote>
  <w:footnote w:type="continuationSeparator" w:id="0">
    <w:p w14:paraId="27678276" w14:textId="77777777" w:rsidR="00743560" w:rsidRDefault="00743560" w:rsidP="00294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0A61" w14:textId="11A63BE9" w:rsidR="0078626E" w:rsidRPr="0078626E" w:rsidRDefault="0078626E" w:rsidP="0078626E">
    <w:pPr>
      <w:pBdr>
        <w:bottom w:val="single" w:sz="4" w:space="4" w:color="808080"/>
      </w:pBdr>
      <w:jc w:val="right"/>
      <w:rPr>
        <w:rFonts w:ascii="Calibri" w:hAnsi="Calibri" w:cs="Calibri"/>
      </w:rPr>
    </w:pPr>
    <w:r w:rsidRPr="0078626E">
      <w:rPr>
        <w:rFonts w:ascii="Calibri" w:eastAsia="Times New Roman" w:hAnsi="Calibri" w:cs="Calibri"/>
        <w:color w:val="595959"/>
        <w:sz w:val="20"/>
        <w:szCs w:val="20"/>
      </w:rPr>
      <w:t>COS30019 Assignment 1 | Hassan Ali Shah SYED (105797705)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284C"/>
    <w:multiLevelType w:val="hybridMultilevel"/>
    <w:tmpl w:val="5D8E8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25903"/>
    <w:multiLevelType w:val="multilevel"/>
    <w:tmpl w:val="1CA6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A60E8B"/>
    <w:multiLevelType w:val="hybridMultilevel"/>
    <w:tmpl w:val="604A6762"/>
    <w:lvl w:ilvl="0" w:tplc="0409000F">
      <w:start w:val="1"/>
      <w:numFmt w:val="decimal"/>
      <w:lvlText w:val="%1."/>
      <w:lvlJc w:val="left"/>
      <w:pPr>
        <w:ind w:left="8280" w:hanging="360"/>
      </w:p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num w:numId="1" w16cid:durableId="842822295">
    <w:abstractNumId w:val="1"/>
  </w:num>
  <w:num w:numId="2" w16cid:durableId="112748791">
    <w:abstractNumId w:val="0"/>
  </w:num>
  <w:num w:numId="3" w16cid:durableId="1094977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A1"/>
    <w:rsid w:val="00011989"/>
    <w:rsid w:val="000253F8"/>
    <w:rsid w:val="0003507C"/>
    <w:rsid w:val="00050175"/>
    <w:rsid w:val="00052529"/>
    <w:rsid w:val="00174BB4"/>
    <w:rsid w:val="00192271"/>
    <w:rsid w:val="001B19E9"/>
    <w:rsid w:val="001C71A1"/>
    <w:rsid w:val="0020043F"/>
    <w:rsid w:val="00200553"/>
    <w:rsid w:val="002153AA"/>
    <w:rsid w:val="002409F3"/>
    <w:rsid w:val="00271F32"/>
    <w:rsid w:val="00294FA5"/>
    <w:rsid w:val="002D5FAE"/>
    <w:rsid w:val="00375691"/>
    <w:rsid w:val="00385E7C"/>
    <w:rsid w:val="003A2146"/>
    <w:rsid w:val="003C34FB"/>
    <w:rsid w:val="00404418"/>
    <w:rsid w:val="00435CF9"/>
    <w:rsid w:val="0044412A"/>
    <w:rsid w:val="00473ADF"/>
    <w:rsid w:val="00495CEE"/>
    <w:rsid w:val="005335B0"/>
    <w:rsid w:val="005E1FA4"/>
    <w:rsid w:val="00713D24"/>
    <w:rsid w:val="0072463F"/>
    <w:rsid w:val="00724C5C"/>
    <w:rsid w:val="00743560"/>
    <w:rsid w:val="00751614"/>
    <w:rsid w:val="007620E3"/>
    <w:rsid w:val="0076512F"/>
    <w:rsid w:val="0078626E"/>
    <w:rsid w:val="007E4CC1"/>
    <w:rsid w:val="008A6237"/>
    <w:rsid w:val="008C1F0B"/>
    <w:rsid w:val="009009C9"/>
    <w:rsid w:val="009142D7"/>
    <w:rsid w:val="009777A1"/>
    <w:rsid w:val="009E7698"/>
    <w:rsid w:val="00A201B8"/>
    <w:rsid w:val="00A4553F"/>
    <w:rsid w:val="00A7573C"/>
    <w:rsid w:val="00AF7D77"/>
    <w:rsid w:val="00B51983"/>
    <w:rsid w:val="00B5307D"/>
    <w:rsid w:val="00BB73FB"/>
    <w:rsid w:val="00BC3BC1"/>
    <w:rsid w:val="00C10410"/>
    <w:rsid w:val="00C133C2"/>
    <w:rsid w:val="00C506B0"/>
    <w:rsid w:val="00C57474"/>
    <w:rsid w:val="00C83338"/>
    <w:rsid w:val="00C846D8"/>
    <w:rsid w:val="00CB1327"/>
    <w:rsid w:val="00CC5851"/>
    <w:rsid w:val="00CD3E1B"/>
    <w:rsid w:val="00D23F88"/>
    <w:rsid w:val="00D32D61"/>
    <w:rsid w:val="00D33210"/>
    <w:rsid w:val="00D4469D"/>
    <w:rsid w:val="00D534F2"/>
    <w:rsid w:val="00D650DF"/>
    <w:rsid w:val="00D74111"/>
    <w:rsid w:val="00DC7FA1"/>
    <w:rsid w:val="00E44CC2"/>
    <w:rsid w:val="00E473E3"/>
    <w:rsid w:val="00EF6300"/>
    <w:rsid w:val="00F15962"/>
    <w:rsid w:val="00F65560"/>
    <w:rsid w:val="00FB6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F5F7"/>
  <w15:chartTrackingRefBased/>
  <w15:docId w15:val="{0E2DDE00-B523-44F1-B6AE-EE5A6B49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51"/>
  </w:style>
  <w:style w:type="paragraph" w:styleId="Heading1">
    <w:name w:val="heading 1"/>
    <w:basedOn w:val="Normal"/>
    <w:next w:val="Normal"/>
    <w:link w:val="Heading1Char"/>
    <w:uiPriority w:val="9"/>
    <w:qFormat/>
    <w:rsid w:val="00DC7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A1"/>
    <w:rPr>
      <w:rFonts w:eastAsiaTheme="majorEastAsia" w:cstheme="majorBidi"/>
      <w:color w:val="272727" w:themeColor="text1" w:themeTint="D8"/>
    </w:rPr>
  </w:style>
  <w:style w:type="paragraph" w:styleId="Title">
    <w:name w:val="Title"/>
    <w:basedOn w:val="Normal"/>
    <w:next w:val="Normal"/>
    <w:link w:val="TitleChar"/>
    <w:uiPriority w:val="10"/>
    <w:qFormat/>
    <w:rsid w:val="00DC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A1"/>
    <w:pPr>
      <w:spacing w:before="160"/>
      <w:jc w:val="center"/>
    </w:pPr>
    <w:rPr>
      <w:i/>
      <w:iCs/>
      <w:color w:val="404040" w:themeColor="text1" w:themeTint="BF"/>
    </w:rPr>
  </w:style>
  <w:style w:type="character" w:customStyle="1" w:styleId="QuoteChar">
    <w:name w:val="Quote Char"/>
    <w:basedOn w:val="DefaultParagraphFont"/>
    <w:link w:val="Quote"/>
    <w:uiPriority w:val="29"/>
    <w:rsid w:val="00DC7FA1"/>
    <w:rPr>
      <w:i/>
      <w:iCs/>
      <w:color w:val="404040" w:themeColor="text1" w:themeTint="BF"/>
    </w:rPr>
  </w:style>
  <w:style w:type="paragraph" w:styleId="ListParagraph">
    <w:name w:val="List Paragraph"/>
    <w:basedOn w:val="Normal"/>
    <w:uiPriority w:val="34"/>
    <w:qFormat/>
    <w:rsid w:val="00DC7FA1"/>
    <w:pPr>
      <w:ind w:left="720"/>
      <w:contextualSpacing/>
    </w:pPr>
  </w:style>
  <w:style w:type="character" w:styleId="IntenseEmphasis">
    <w:name w:val="Intense Emphasis"/>
    <w:basedOn w:val="DefaultParagraphFont"/>
    <w:uiPriority w:val="21"/>
    <w:qFormat/>
    <w:rsid w:val="00DC7FA1"/>
    <w:rPr>
      <w:i/>
      <w:iCs/>
      <w:color w:val="0F4761" w:themeColor="accent1" w:themeShade="BF"/>
    </w:rPr>
  </w:style>
  <w:style w:type="paragraph" w:styleId="IntenseQuote">
    <w:name w:val="Intense Quote"/>
    <w:basedOn w:val="Normal"/>
    <w:next w:val="Normal"/>
    <w:link w:val="IntenseQuoteChar"/>
    <w:uiPriority w:val="30"/>
    <w:qFormat/>
    <w:rsid w:val="00DC7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FA1"/>
    <w:rPr>
      <w:i/>
      <w:iCs/>
      <w:color w:val="0F4761" w:themeColor="accent1" w:themeShade="BF"/>
    </w:rPr>
  </w:style>
  <w:style w:type="character" w:styleId="IntenseReference">
    <w:name w:val="Intense Reference"/>
    <w:basedOn w:val="DefaultParagraphFont"/>
    <w:uiPriority w:val="32"/>
    <w:qFormat/>
    <w:rsid w:val="00DC7FA1"/>
    <w:rPr>
      <w:b/>
      <w:bCs/>
      <w:smallCaps/>
      <w:color w:val="0F4761" w:themeColor="accent1" w:themeShade="BF"/>
      <w:spacing w:val="5"/>
    </w:rPr>
  </w:style>
  <w:style w:type="paragraph" w:styleId="TOCHeading">
    <w:name w:val="TOC Heading"/>
    <w:basedOn w:val="Heading1"/>
    <w:next w:val="Normal"/>
    <w:uiPriority w:val="39"/>
    <w:unhideWhenUsed/>
    <w:qFormat/>
    <w:rsid w:val="004044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4418"/>
    <w:pPr>
      <w:spacing w:after="100"/>
    </w:pPr>
  </w:style>
  <w:style w:type="paragraph" w:styleId="TOC2">
    <w:name w:val="toc 2"/>
    <w:basedOn w:val="Normal"/>
    <w:next w:val="Normal"/>
    <w:autoRedefine/>
    <w:uiPriority w:val="39"/>
    <w:unhideWhenUsed/>
    <w:rsid w:val="00404418"/>
    <w:pPr>
      <w:spacing w:after="100"/>
      <w:ind w:left="240"/>
    </w:pPr>
  </w:style>
  <w:style w:type="character" w:styleId="Hyperlink">
    <w:name w:val="Hyperlink"/>
    <w:basedOn w:val="DefaultParagraphFont"/>
    <w:uiPriority w:val="99"/>
    <w:unhideWhenUsed/>
    <w:rsid w:val="00404418"/>
    <w:rPr>
      <w:color w:val="467886" w:themeColor="hyperlink"/>
      <w:u w:val="single"/>
    </w:rPr>
  </w:style>
  <w:style w:type="paragraph" w:styleId="Header">
    <w:name w:val="header"/>
    <w:basedOn w:val="Normal"/>
    <w:link w:val="HeaderChar"/>
    <w:uiPriority w:val="99"/>
    <w:unhideWhenUsed/>
    <w:rsid w:val="0029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FA5"/>
  </w:style>
  <w:style w:type="paragraph" w:styleId="Footer">
    <w:name w:val="footer"/>
    <w:basedOn w:val="Normal"/>
    <w:link w:val="FooterChar"/>
    <w:uiPriority w:val="99"/>
    <w:unhideWhenUsed/>
    <w:rsid w:val="0029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FA5"/>
  </w:style>
  <w:style w:type="character" w:styleId="UnresolvedMention">
    <w:name w:val="Unresolved Mention"/>
    <w:basedOn w:val="DefaultParagraphFont"/>
    <w:uiPriority w:val="99"/>
    <w:semiHidden/>
    <w:unhideWhenUsed/>
    <w:rsid w:val="001B19E9"/>
    <w:rPr>
      <w:color w:val="605E5C"/>
      <w:shd w:val="clear" w:color="auto" w:fill="E1DFDD"/>
    </w:rPr>
  </w:style>
  <w:style w:type="character" w:styleId="FollowedHyperlink">
    <w:name w:val="FollowedHyperlink"/>
    <w:basedOn w:val="DefaultParagraphFont"/>
    <w:uiPriority w:val="99"/>
    <w:semiHidden/>
    <w:unhideWhenUsed/>
    <w:rsid w:val="001B19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emini.google/nWwolRPc3YB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hsyn-ali/COS30019-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E5080-0EEF-4CAA-86AB-A7500F588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5750</TotalTime>
  <Pages>14</Pages>
  <Words>4638</Words>
  <Characters>26443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Hassan Ali shah</dc:creator>
  <cp:keywords/>
  <dc:description/>
  <cp:lastModifiedBy>Hassan Ali Shah SYED</cp:lastModifiedBy>
  <cp:revision>25</cp:revision>
  <dcterms:created xsi:type="dcterms:W3CDTF">2026-09-23T09:32:00Z</dcterms:created>
  <dcterms:modified xsi:type="dcterms:W3CDTF">2026-10-11T15:46:00Z</dcterms:modified>
</cp:coreProperties>
</file>