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211</w:t>
      </w:r>
    </w:p>
    <w:p>
      <w:pPr>
        <w:jc w:val="center"/>
      </w:pPr>
      <w:r>
        <w:t>Sürüm 01.08.2026.211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211</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PROJECT-RULES-2026-08-01-V4</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170</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6259d2c757caf865aedfe99a7bcea0a1a333551415b0912a856ac571876274f9</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Logout, oturum süresi dolumu ve uygulama kapanışında geçici SQLite kapatılır, kasa yeniden mühürlenir ve geçici oturum dosyaları silinir.</w:t>
      </w:r>
    </w:p>
    <w:p>
      <w:pPr>
        <w:pStyle w:val="ListBullet"/>
      </w:pPr>
      <w:r>
        <w:t>Aynı Windows kullanıcısı yetkisindeki malware/yöneticiye karşı mutlak engel iddia edilmez; aktif oturum sayfa/in-use şifreleme OPEN-021 ve yan artifact kapanışı OPEN-022 Bronze Final blokajıdır.</w:t>
      </w:r>
    </w:p>
    <w:p>
      <w:pPr>
        <w:pStyle w:val="Heading1"/>
      </w:pPr>
      <w:r>
        <w:t>3. UI Görsel Referans Manifestosu</w:t>
      </w:r>
    </w:p>
    <w:p>
      <w:r>
        <w:t>Bağlayıcı görsel: docs/ui/UI_VISUAL_REFERENCE_MANIFESTO_BUILD208.png.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057650"/>
            <wp:docPr id="1" name="Picture 1"/>
            <wp:cNvGraphicFramePr>
              <a:graphicFrameLocks noChangeAspect="1"/>
            </wp:cNvGraphicFramePr>
            <a:graphic>
              <a:graphicData uri="http://schemas.openxmlformats.org/drawingml/2006/picture">
                <pic:pic>
                  <pic:nvPicPr>
                    <pic:cNvPr id="0" name="UI_VISUAL_REFERENCE_MANIFESTO_BUILD208.png"/>
                    <pic:cNvPicPr/>
                  </pic:nvPicPr>
                  <pic:blipFill>
                    <a:blip r:embed="rId9"/>
                    <a:stretch>
                      <a:fillRect/>
                    </a:stretch>
                  </pic:blipFill>
                  <pic:spPr>
                    <a:xfrm>
                      <a:off x="0" y="0"/>
                      <a:ext cx="6492240" cy="4057650"/>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pStyle w:val="Heading1"/>
      </w:pPr>
      <w:r>
        <w:t>5. Güncel devam noktası ve açık işler</w:t>
      </w:r>
    </w:p>
    <w:p>
      <w:r>
        <w:t>Sıradaki iş: OPEN-021 — Aktif oturumda sayfa-seviyesi kullanıcı verisi koruması. Planlanan Build: 212.</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212</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%92</w:t>
      </w:r>
    </w:p>
    <w:p>
      <w:r>
        <w:t>Kalan kodlama: %8</w:t>
      </w:r>
    </w:p>
    <w:p>
      <w:r>
        <w:t>Geçen süre: 12 gün</w:t>
      </w:r>
    </w:p>
    <w:p>
      <w:r>
        <w:t>Tarihsel build hızı: 17.58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Proje Anayasası uygulama çerçevesi</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Güncel tek paket dokümantasyon</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Heading1"/>
      </w:pPr>
      <w:r>
        <w:t>9. Build 211 karar ve kanıt dosyaları</w:t>
      </w:r>
    </w:p>
    <w:p>
      <w:pPr>
        <w:pStyle w:val="ListBullet"/>
      </w:pPr>
      <w:r>
        <w:t>docs/decisions/DEC-101-clean-install-external-access-handoff.md</w:t>
      </w:r>
    </w:p>
    <w:p>
      <w:pPr>
        <w:pStyle w:val="ListBullet"/>
      </w:pPr>
      <w:r>
        <w:t>docs/adr/ADR-084-clean-install-external-access-handoff.md</w:t>
      </w:r>
    </w:p>
    <w:p>
      <w:pPr>
        <w:pStyle w:val="ListBullet"/>
      </w:pPr>
      <w:r>
        <w:t>docs/NPM_CLEAN_INSTALL_BUILD211_HANDOFF.md</w:t>
      </w:r>
    </w:p>
    <w:p>
      <w:pPr>
        <w:pStyle w:val="ListBullet"/>
      </w:pPr>
      <w:r>
        <w:t>BUILD_STATUS_BRONZE_RC2_BUILD211.md</w:t>
      </w:r>
    </w:p>
    <w:p>
      <w:pPr>
        <w:pStyle w:val="ListBullet"/>
      </w:pPr>
      <w:r>
        <w:t>RELEASE_NOTES_BRONZE_RC2_BUILD211.md</w:t>
      </w:r>
    </w:p>
    <w:p>
      <w:pPr>
        <w:pStyle w:val="ListBullet"/>
      </w:pPr>
      <w:r>
        <w:t>BUILD211_ARCHITECTURE_VALIDATION_REPORT.md</w:t>
      </w:r>
    </w:p>
    <w:p>
      <w:pPr>
        <w:pStyle w:val="ListBullet"/>
      </w:pPr>
      <w:r>
        <w:t>BUILD211_DELIVERY_VALIDATION_REPORT.md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