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7C4D20"/>
          <w:sz w:val="30"/>
        </w:rPr>
        <w:t>ANADOLU PARSI</w:t>
      </w:r>
    </w:p>
    <w:p>
      <w:pPr>
        <w:jc w:val="center"/>
      </w:pPr>
      <w:r>
        <w:rPr>
          <w:b/>
          <w:sz w:val="48"/>
        </w:rPr>
        <w:t>Aile Yaşam Merkezi</w:t>
      </w:r>
    </w:p>
    <w:p>
      <w:pPr>
        <w:jc w:val="center"/>
      </w:pPr>
      <w:r>
        <w:rPr>
          <w:sz w:val="30"/>
        </w:rPr>
        <w:t>Master Proje Dokümantasyonu — Build 220</w:t>
      </w:r>
    </w:p>
    <w:p>
      <w:pPr>
        <w:jc w:val="center"/>
      </w:pPr>
      <w:r>
        <w:t>Sürüm 02.08.2026.220 · Bronze RC2 Active Development · COMPLETED</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7C4D20"/>
          </w:tcPr>
          <w:p>
            <w:r/>
            <w:r>
              <w:rPr>
                <w:rFonts w:ascii="Arial" w:hAnsi="Arial"/>
                <w:b/>
                <w:color w:val="FFFFFF"/>
                <w:sz w:val="18"/>
              </w:rPr>
              <w:t>Üst marka</w:t>
            </w:r>
          </w:p>
        </w:tc>
        <w:tc>
          <w:tcPr>
            <w:tcW w:type="dxa" w:w="5184"/>
            <w:vAlign w:val="center"/>
          </w:tcPr>
          <w:p>
            <w:r/>
            <w:r>
              <w:rPr>
                <w:rFonts w:ascii="Arial" w:hAnsi="Arial"/>
                <w:b w:val="0"/>
                <w:sz w:val="18"/>
              </w:rPr>
              <w:t>Panthera pardus tulliana</w:t>
            </w:r>
          </w:p>
        </w:tc>
      </w:tr>
      <w:tr>
        <w:tc>
          <w:tcPr>
            <w:tcW w:type="dxa" w:w="5184"/>
            <w:vAlign w:val="center"/>
            <w:shd w:fill="7C4D20"/>
          </w:tcPr>
          <w:p>
            <w:r/>
            <w:r>
              <w:rPr>
                <w:rFonts w:ascii="Arial" w:hAnsi="Arial"/>
                <w:b/>
                <w:color w:val="FFFFFF"/>
                <w:sz w:val="18"/>
              </w:rPr>
              <w:t>Uygulama</w:t>
            </w:r>
          </w:p>
        </w:tc>
        <w:tc>
          <w:tcPr>
            <w:tcW w:type="dxa" w:w="5184"/>
            <w:vAlign w:val="center"/>
          </w:tcPr>
          <w:p>
            <w:r/>
            <w:r>
              <w:rPr>
                <w:rFonts w:ascii="Arial" w:hAnsi="Arial"/>
                <w:b w:val="0"/>
                <w:sz w:val="18"/>
              </w:rPr>
              <w:t>Anadolu Parsı Aile Yaşam Merkezi</w:t>
            </w:r>
          </w:p>
        </w:tc>
      </w:tr>
      <w:tr>
        <w:tc>
          <w:tcPr>
            <w:tcW w:type="dxa" w:w="5184"/>
            <w:vAlign w:val="center"/>
            <w:shd w:fill="7C4D20"/>
          </w:tcPr>
          <w:p>
            <w:r/>
            <w:r>
              <w:rPr>
                <w:rFonts w:ascii="Arial" w:hAnsi="Arial"/>
                <w:b/>
                <w:color w:val="FFFFFF"/>
                <w:sz w:val="18"/>
              </w:rPr>
              <w:t>Proje başlangıcı</w:t>
            </w:r>
          </w:p>
        </w:tc>
        <w:tc>
          <w:tcPr>
            <w:tcW w:type="dxa" w:w="5184"/>
            <w:vAlign w:val="center"/>
          </w:tcPr>
          <w:p>
            <w:r/>
            <w:r>
              <w:rPr>
                <w:rFonts w:ascii="Arial" w:hAnsi="Arial"/>
                <w:b w:val="0"/>
                <w:sz w:val="18"/>
              </w:rPr>
              <w:t>20.07.2026</w:t>
            </w:r>
          </w:p>
        </w:tc>
      </w:tr>
      <w:tr>
        <w:tc>
          <w:tcPr>
            <w:tcW w:type="dxa" w:w="5184"/>
            <w:vAlign w:val="center"/>
            <w:shd w:fill="7C4D20"/>
          </w:tcPr>
          <w:p>
            <w:r/>
            <w:r>
              <w:rPr>
                <w:rFonts w:ascii="Arial" w:hAnsi="Arial"/>
                <w:b/>
                <w:color w:val="FFFFFF"/>
                <w:sz w:val="18"/>
              </w:rPr>
              <w:t>Build</w:t>
            </w:r>
          </w:p>
        </w:tc>
        <w:tc>
          <w:tcPr>
            <w:tcW w:type="dxa" w:w="5184"/>
            <w:vAlign w:val="center"/>
          </w:tcPr>
          <w:p>
            <w:r/>
            <w:r>
              <w:rPr>
                <w:rFonts w:ascii="Arial" w:hAnsi="Arial"/>
                <w:b w:val="0"/>
                <w:sz w:val="18"/>
              </w:rPr>
              <w:t>220</w:t>
            </w:r>
          </w:p>
        </w:tc>
      </w:tr>
      <w:tr>
        <w:tc>
          <w:tcPr>
            <w:tcW w:type="dxa" w:w="5184"/>
            <w:vAlign w:val="center"/>
            <w:shd w:fill="7C4D20"/>
          </w:tcPr>
          <w:p>
            <w:r/>
            <w:r>
              <w:rPr>
                <w:rFonts w:ascii="Arial" w:hAnsi="Arial"/>
                <w:b/>
                <w:color w:val="FFFFFF"/>
                <w:sz w:val="18"/>
              </w:rPr>
              <w:t>Kural seti</w:t>
            </w:r>
          </w:p>
        </w:tc>
        <w:tc>
          <w:tcPr>
            <w:tcW w:type="dxa" w:w="5184"/>
            <w:vAlign w:val="center"/>
          </w:tcPr>
          <w:p>
            <w:r/>
            <w:r>
              <w:rPr>
                <w:rFonts w:ascii="Arial" w:hAnsi="Arial"/>
                <w:b w:val="0"/>
                <w:sz w:val="18"/>
              </w:rPr>
              <w:t>PROJECT-RULES-2026-08-01-V5</w:t>
            </w:r>
          </w:p>
        </w:tc>
      </w:tr>
      <w:tr>
        <w:tc>
          <w:tcPr>
            <w:tcW w:type="dxa" w:w="5184"/>
            <w:vAlign w:val="center"/>
            <w:shd w:fill="7C4D20"/>
          </w:tcPr>
          <w:p>
            <w:r/>
            <w:r>
              <w:rPr>
                <w:rFonts w:ascii="Arial" w:hAnsi="Arial"/>
                <w:b/>
                <w:color w:val="FFFFFF"/>
                <w:sz w:val="18"/>
              </w:rPr>
              <w:t>Kural sayısı</w:t>
            </w:r>
          </w:p>
        </w:tc>
        <w:tc>
          <w:tcPr>
            <w:tcW w:type="dxa" w:w="5184"/>
            <w:vAlign w:val="center"/>
          </w:tcPr>
          <w:p>
            <w:r/>
            <w:r>
              <w:rPr>
                <w:rFonts w:ascii="Arial" w:hAnsi="Arial"/>
                <w:b w:val="0"/>
                <w:sz w:val="18"/>
              </w:rPr>
              <w:t>171</w:t>
            </w:r>
          </w:p>
        </w:tc>
      </w:tr>
      <w:tr>
        <w:tc>
          <w:tcPr>
            <w:tcW w:type="dxa" w:w="5184"/>
            <w:vAlign w:val="center"/>
            <w:shd w:fill="7C4D20"/>
          </w:tcPr>
          <w:p>
            <w:r/>
            <w:r>
              <w:rPr>
                <w:rFonts w:ascii="Arial" w:hAnsi="Arial"/>
                <w:b/>
                <w:color w:val="FFFFFF"/>
                <w:sz w:val="18"/>
              </w:rPr>
              <w:t>Kural SHA-256</w:t>
            </w:r>
          </w:p>
        </w:tc>
        <w:tc>
          <w:tcPr>
            <w:tcW w:type="dxa" w:w="5184"/>
            <w:vAlign w:val="center"/>
          </w:tcPr>
          <w:p>
            <w:r/>
            <w:r>
              <w:rPr>
                <w:rFonts w:ascii="Arial" w:hAnsi="Arial"/>
                <w:b w:val="0"/>
                <w:sz w:val="18"/>
              </w:rPr>
              <w:t>2e342a2e0a982bb19c2e45fb25b67336f70eb71969ce1e0f4e298f3fe6cfe9d1</w:t>
            </w:r>
          </w:p>
        </w:tc>
      </w:tr>
      <w:tr>
        <w:tc>
          <w:tcPr>
            <w:tcW w:type="dxa" w:w="5184"/>
            <w:vAlign w:val="center"/>
            <w:shd w:fill="7C4D20"/>
          </w:tcPr>
          <w:p>
            <w:r/>
            <w:r>
              <w:rPr>
                <w:rFonts w:ascii="Arial" w:hAnsi="Arial"/>
                <w:b/>
                <w:color w:val="FFFFFF"/>
                <w:sz w:val="18"/>
              </w:rPr>
              <w:t>Aşama</w:t>
            </w:r>
          </w:p>
        </w:tc>
        <w:tc>
          <w:tcPr>
            <w:tcW w:type="dxa" w:w="5184"/>
            <w:vAlign w:val="center"/>
          </w:tcPr>
          <w:p>
            <w:r/>
            <w:r>
              <w:rPr>
                <w:rFonts w:ascii="Arial" w:hAnsi="Arial"/>
                <w:b w:val="0"/>
                <w:sz w:val="18"/>
              </w:rPr>
              <w:t>Bronze RC2 Active Development</w:t>
            </w:r>
          </w:p>
        </w:tc>
      </w:tr>
    </w:tbl>
    <w:p/>
    <w:p>
      <w:pPr>
        <w:pStyle w:val="Heading1"/>
      </w:pPr>
      <w:r>
        <w:t>1. Proje Anayasası ve kaynak sınırı</w:t>
      </w:r>
    </w:p>
    <w:p>
      <w:r>
        <w:t>Bu proje için tek yetkili başlangıç 20 Temmuz 2026’dır. Bu tarihten önceki sohbet, dosya, karar veya proje bağlam kaynağı değildir. Güncel Proje Anayasası Ana Build Defteri içindeki kural setidir ve sessiz istisna kabul etmez.</w:t>
      </w:r>
    </w:p>
    <w:p>
      <w:pPr>
        <w:pStyle w:val="ListBullet"/>
      </w:pPr>
      <w:r>
        <w:t>Üst marka Panthera pardus tulliana; kullanıcıya görünen uygulama adı Anadolu Parsı Aile Yaşam Merkezi.</w:t>
      </w:r>
    </w:p>
    <w:p>
      <w:pPr>
        <w:pStyle w:val="ListBullet"/>
      </w:pPr>
      <w:r>
        <w:t>Aktif kaynak, belge, görsel ve metadata doğal kişi/aile kimliği içermez; marka kimliği kullanılır.</w:t>
      </w:r>
    </w:p>
    <w:p>
      <w:pPr>
        <w:pStyle w:val="ListBullet"/>
      </w:pPr>
      <w:r>
        <w:t>Production başlangıcı hazır kişi/aile/demo verisi içermez; veri yalnız kullanıcı işlemi veya kontrollü içe aktarma ile oluşur.</w:t>
      </w:r>
    </w:p>
    <w:p>
      <w:pPr>
        <w:pStyle w:val="ListBullet"/>
      </w:pPr>
      <w:r>
        <w:t>Silver öncesi gerçek arayüz, UI Görsel Referans Manifestosu ve onaylı 20 Temmuz sonrası görsellerle doğrulanır.</w:t>
      </w:r>
    </w:p>
    <w:p>
      <w:pPr>
        <w:pStyle w:val="ListBullet"/>
      </w:pPr>
      <w:r>
        <w:t>P0 yaşamsal API/adapter işleri önce gelir; P2 banka ve diğer kurum entegrasyonları kararlı üretimden yaklaşık 5-6 ay sonra değerlendirilir.</w:t>
      </w:r>
    </w:p>
    <w:p>
      <w:pPr>
        <w:pStyle w:val="Heading1"/>
      </w:pPr>
      <w:r>
        <w:t>2. Güvenli ilk kullanım ve kullanıcı veri kasası</w:t>
      </w:r>
    </w:p>
    <w:p>
      <w:pPr>
        <w:pStyle w:val="ListBullet"/>
      </w:pPr>
      <w:r>
        <w:t>Windows ilk çalıştırma Anadolu Parsı marka tanıtımı, Türkçe sesli anlatım, altyazı/sessiz/geç seçenekleri ve ilk kurulum sihirbazıyla başlar.</w:t>
      </w:r>
    </w:p>
    <w:p>
      <w:pPr>
        <w:pStyle w:val="ListBullet"/>
      </w:pPr>
      <w:r>
        <w:t>Yerel güçlü parola temel yöntemdir; Apple, Google ve Microsoft yalnız kimlik doğrulama sağlayıcısıdır ve uygulama içi yetki vermez.</w:t>
      </w:r>
    </w:p>
    <w:p>
      <w:pPr>
        <w:pStyle w:val="ListBullet"/>
      </w:pPr>
      <w:r>
        <w:t>TOTP ve kurtarma kodları ilk güvenlik kurulumunun zorunlu parçasıdır; gerçek OIDC PASS ancak canlı sağlayıcı kayıtları ve Windows testleriyle verilir.</w:t>
      </w:r>
    </w:p>
    <w:p>
      <w:pPr>
        <w:pStyle w:val="ListBullet"/>
      </w:pPr>
      <w:r>
        <w:t>Kullanıcı doğrulanmadan aile veritabanı açılmaz. Kalıcı ana veri AES-256-GCM kasada; veri anahtarı scrypt parola türetimi + Windows safeStorage/DPAPI cihaz bağıyla korunur.</w:t>
      </w:r>
    </w:p>
    <w:p>
      <w:pPr>
        <w:pStyle w:val="ListBullet"/>
      </w:pPr>
      <w:r>
        <w:t>Kimliği doğrulanmış aktif oturumda SQLite ana veritabanı yalnız süreç belleğinde çalışır; kalıcı ana veri AES-256-GCM kasadır. Dosya görüntüsü gereken bounded staging Windows production’da EFS korumalı ve fail-closed’dur.</w:t>
      </w:r>
    </w:p>
    <w:p>
      <w:pPr>
        <w:pStyle w:val="ListBullet"/>
      </w:pPr>
      <w:r>
        <w:t>Aktif oturum en fazla 30 saniyede bir şifreli kasaya checkpoint edilir; logout/timeout/quit son mühürleme ve staging temizliği yapar.</w:t>
      </w:r>
    </w:p>
    <w:p>
      <w:pPr>
        <w:pStyle w:val="ListBullet"/>
      </w:pPr>
      <w:r>
        <w:t>Aynı Windows kullanıcısı yetkisindeki malware/yöneticiye karşı mutlak engel iddia edilmez. Build215 ile ortak Windows evidence harness kurulmuş; Build217 ile OPEN-021 EFS-only, Build218 ile OPEN-022 safeStorage/DPAPI + Protected Side Artifact kapanışları birbirinden ve Silver kapsamından ayrılmıştır. Gerçek Windows execution bu ortamda NOT_RUN kalır.</w:t>
      </w:r>
    </w:p>
    <w:p>
      <w:pPr>
        <w:pStyle w:val="Heading1"/>
      </w:pPr>
      <w:r>
        <w:t>3. UI Görsel Referans Manifestosu</w:t>
      </w:r>
    </w:p>
    <w:p>
      <w:r>
        <w:t>Bağlayıcı görsel: docs/ui/UI_VISUAL_REFERENCE_MANIFESTO_ACTIVE.png. Ölçülebilir tipografi ve renk sözleşmesi config/ui-visual-reference-manifest.json ile kaynak CSS tarafından belirlenir.</w:t>
      </w:r>
    </w:p>
    <w:p>
      <w:pPr>
        <w:jc w:val="center"/>
      </w:pPr>
      <w:r>
        <w:drawing>
          <wp:inline xmlns:a="http://schemas.openxmlformats.org/drawingml/2006/main" xmlns:pic="http://schemas.openxmlformats.org/drawingml/2006/picture">
            <wp:extent cx="6492240" cy="4593771"/>
            <wp:docPr id="1" name="Picture 1"/>
            <wp:cNvGraphicFramePr>
              <a:graphicFrameLocks noChangeAspect="1"/>
            </wp:cNvGraphicFramePr>
            <a:graphic>
              <a:graphicData uri="http://schemas.openxmlformats.org/drawingml/2006/picture">
                <pic:pic>
                  <pic:nvPicPr>
                    <pic:cNvPr id="0" name="UI_VISUAL_REFERENCE_MANIFESTO_ACTIVE.png"/>
                    <pic:cNvPicPr/>
                  </pic:nvPicPr>
                  <pic:blipFill>
                    <a:blip r:embed="rId9"/>
                    <a:stretch>
                      <a:fillRect/>
                    </a:stretch>
                  </pic:blipFill>
                  <pic:spPr>
                    <a:xfrm>
                      <a:off x="0" y="0"/>
                      <a:ext cx="6492240" cy="4593771"/>
                    </a:xfrm>
                    <a:prstGeom prst="rect"/>
                  </pic:spPr>
                </pic:pic>
              </a:graphicData>
            </a:graphic>
          </wp:inline>
        </w:drawing>
      </w:r>
    </w:p>
    <w:p>
      <w:pPr>
        <w:pStyle w:val="Heading1"/>
      </w:pPr>
      <w:r>
        <w:t>4. Kesin Proje Kuralları</w:t>
      </w:r>
    </w:p>
    <w:p>
      <w:pPr>
        <w:spacing w:after="60"/>
      </w:pPr>
      <w:r>
        <w:rPr>
          <w:b/>
        </w:rPr>
        <w:t xml:space="preserve">PR-001 — </w:t>
      </w:r>
      <w:r>
        <w:t>Tüm proje ailesinin üst markası Latince “Panthera pardus tulliana”dır. Uygulama adı üst markadan ayrıdır ve bu uygulamanın resmî adı “Anadolu Parsı Aile Yaşam Merkezi”dir; yeni uygulamalar “Anadolu Parsı” adına içeriklerini tanımlayan ek ad alır. Üst marka adı normal uygulama kullanıcı arayüzünde gösterilmez.</w:t>
      </w:r>
    </w:p>
    <w:p>
      <w:pPr>
        <w:spacing w:after="60"/>
      </w:pPr>
      <w:r>
        <w:rPr>
          <w:b/>
        </w:rPr>
        <w:t xml:space="preserve">PR-002 — </w:t>
      </w:r>
      <w:r>
        <w:t>Bu projenin tek geçerli kaynak başlangıcı 20 Temmuz 2026’dır. Bu tarihten önceki sohbet, dosya, karar, proje veya yatırım/otomatik alım-satım çalışması bu projeyle ilişkilendirilemez, bağlam kaynağı yapılamaz veya proje geçmişi olarak kullanıcıya sunulamaz.</w:t>
      </w:r>
    </w:p>
    <w:p>
      <w:pPr>
        <w:spacing w:after="60"/>
      </w:pPr>
      <w:r>
        <w:rPr>
          <w:b/>
        </w:rPr>
        <w:t xml:space="preserve">PR-003 — </w:t>
      </w:r>
      <w:r>
        <w:t>Sistemin kök iş varlığı Aile’dir; kişi, hesap, aile, aile dalı, hane ve üyelik ayrı kavramlardır.</w:t>
      </w:r>
    </w:p>
    <w:p>
      <w:pPr>
        <w:spacing w:after="60"/>
      </w:pPr>
      <w:r>
        <w:rPr>
          <w:b/>
        </w:rPr>
        <w:t xml:space="preserve">PR-004 — </w:t>
      </w:r>
      <w:r>
        <w:t>Kullanıcı kapsamı yalnız çekirdek aileyle sınırlı değildir; uygun rol, amaç ve süreyle yetkilendirilen diğer kişiler de sisteme dahil olabilir.</w:t>
      </w:r>
    </w:p>
    <w:p>
      <w:pPr>
        <w:spacing w:after="60"/>
      </w:pPr>
      <w:r>
        <w:rPr>
          <w:b/>
        </w:rPr>
        <w:t xml:space="preserve">PR-005 — </w:t>
      </w:r>
      <w:r>
        <w:t>Aktif ana ürün 16 modülden oluşur: Gösterge Paneli, Aile, Soy Ağacı, Zaman Tüneli, Önemli Günler, Arşiv, Finans, Sağlık, Yaşam Merkezi, Bildirim ve Otomasyon, Raporlama, Konum, Yetkiler, Yapay Zekâ, Dijital Miras ve Ayarlar.</w:t>
      </w:r>
    </w:p>
    <w:p>
      <w:pPr>
        <w:spacing w:after="60"/>
      </w:pPr>
      <w:r>
        <w:rPr>
          <w:b/>
        </w:rPr>
        <w:t xml:space="preserve">PR-006 — </w:t>
      </w:r>
      <w:r>
        <w:t>Her yetişkin kendi özel verisinin sahibidir.</w:t>
      </w:r>
    </w:p>
    <w:p>
      <w:pPr>
        <w:spacing w:after="60"/>
      </w:pPr>
      <w:r>
        <w:rPr>
          <w:b/>
        </w:rPr>
        <w:t xml:space="preserve">PR-007 — </w:t>
      </w:r>
      <w:r>
        <w:t>Aile yöneticisi olmak sağlık, finans, konum, özel belge veya kişisel zaman tüneli verilerine otomatik erişim sağlamaz.</w:t>
      </w:r>
    </w:p>
    <w:p>
      <w:pPr>
        <w:spacing w:after="60"/>
      </w:pPr>
      <w:r>
        <w:rPr>
          <w:b/>
        </w:rPr>
        <w:t xml:space="preserve">PR-008 — </w:t>
      </w:r>
      <w:r>
        <w:t>Yetkilendirme yalnız role göre yapılamaz; veri sahibi, nesne, işlem, aile dalı, amaç, süre ve açık izin/ret birlikte değerlendirilir.</w:t>
      </w:r>
    </w:p>
    <w:p>
      <w:pPr>
        <w:spacing w:after="60"/>
      </w:pPr>
      <w:r>
        <w:rPr>
          <w:b/>
        </w:rPr>
        <w:t xml:space="preserve">PR-009 — </w:t>
      </w:r>
      <w:r>
        <w:t>Açık ret, rol veya varsayılan iznin her zaman üzerindedir.</w:t>
      </w:r>
    </w:p>
    <w:p>
      <w:pPr>
        <w:spacing w:after="60"/>
      </w:pPr>
      <w:r>
        <w:rPr>
          <w:b/>
        </w:rPr>
        <w:t xml:space="preserve">PR-010 — </w:t>
      </w:r>
      <w:r>
        <w:t>Finans ve sağlık yüksek hassasiyetli veri alanlarıdır; kişisel varlık ve borçlar başka aile üyesine otomatik katılmaz, ortak varlık/borç sahiplik oranıyla ele alınır.</w:t>
      </w:r>
    </w:p>
    <w:p>
      <w:pPr>
        <w:spacing w:after="60"/>
      </w:pPr>
      <w:r>
        <w:rPr>
          <w:b/>
        </w:rPr>
        <w:t xml:space="preserve">PR-011 — </w:t>
      </w:r>
      <w:r>
        <w:t>Canlı konum yalnız açık rıza, amaç ve süreyle paylaşılır; görünür gösterge, otomatik sona erme ve audit kaydı zorunludur.</w:t>
      </w:r>
    </w:p>
    <w:p>
      <w:pPr>
        <w:spacing w:after="60"/>
      </w:pPr>
      <w:r>
        <w:rPr>
          <w:b/>
        </w:rPr>
        <w:t xml:space="preserve">PR-012 — </w:t>
      </w:r>
      <w:r>
        <w:t>Başlangıç mimarisi modüler monolittir ve gelecekte servis/platform ayrışmasına açık kalmalıdır.</w:t>
      </w:r>
    </w:p>
    <w:p>
      <w:pPr>
        <w:spacing w:after="60"/>
      </w:pPr>
      <w:r>
        <w:rPr>
          <w:b/>
        </w:rPr>
        <w:t xml:space="preserve">PR-013 — </w:t>
      </w:r>
      <w:r>
        <w:t>Temel bağımlılık yönü UI → Application → Domain → Infrastructure şeklindedir.</w:t>
      </w:r>
    </w:p>
    <w:p>
      <w:pPr>
        <w:spacing w:after="60"/>
      </w:pPr>
      <w:r>
        <w:rPr>
          <w:b/>
        </w:rPr>
        <w:t xml:space="preserve">PR-014 — </w:t>
      </w:r>
      <w:r>
        <w:t>Renderer ve Application katmanı doğrudan ham SQL veya native SQLite çalıştıramaz.</w:t>
      </w:r>
    </w:p>
    <w:p>
      <w:pPr>
        <w:spacing w:after="60"/>
      </w:pPr>
      <w:r>
        <w:rPr>
          <w:b/>
        </w:rPr>
        <w:t xml:space="preserve">PR-015 — </w:t>
      </w:r>
      <w:r>
        <w:t>Migration SQL sahipliği database katmanındadır.</w:t>
      </w:r>
    </w:p>
    <w:p>
      <w:pPr>
        <w:spacing w:after="60"/>
      </w:pPr>
      <w:r>
        <w:rPr>
          <w:b/>
        </w:rPr>
        <w:t xml:space="preserve">PR-016 — </w:t>
      </w:r>
      <w:r>
        <w:t>Somut repository implementasyonları merkezi composition root üzerinden oluşturulur.</w:t>
      </w:r>
    </w:p>
    <w:p>
      <w:pPr>
        <w:spacing w:after="60"/>
      </w:pPr>
      <w:r>
        <w:rPr>
          <w:b/>
        </w:rPr>
        <w:t xml:space="preserve">PR-017 — </w:t>
      </w:r>
      <w:r>
        <w:t>Ortak servislerin tek otoritesi Core Platform’dur; modüller içinde ikinci bağımsız ortak servis kopyaları oluşturulamaz.</w:t>
      </w:r>
    </w:p>
    <w:p>
      <w:pPr>
        <w:spacing w:after="60"/>
      </w:pPr>
      <w:r>
        <w:rPr>
          <w:b/>
        </w:rPr>
        <w:t xml:space="preserve">PR-018 — </w:t>
      </w:r>
      <w:r>
        <w:t>Sistem yerel öncelikli (local-first) çalışır.</w:t>
      </w:r>
    </w:p>
    <w:p>
      <w:pPr>
        <w:spacing w:after="60"/>
      </w:pPr>
      <w:r>
        <w:rPr>
          <w:b/>
        </w:rPr>
        <w:t xml:space="preserve">PR-019 — </w:t>
      </w:r>
      <w:r>
        <w:t>Birincil veri kullanıcının cihazındadır.</w:t>
      </w:r>
    </w:p>
    <w:p>
      <w:pPr>
        <w:spacing w:after="60"/>
      </w:pPr>
      <w:r>
        <w:rPr>
          <w:b/>
        </w:rPr>
        <w:t xml:space="preserve">PR-020 — </w:t>
      </w:r>
      <w:r>
        <w:t>Bulut hesabı temel kullanım için zorunlu değildir.</w:t>
      </w:r>
    </w:p>
    <w:p>
      <w:pPr>
        <w:spacing w:after="60"/>
      </w:pPr>
      <w:r>
        <w:rPr>
          <w:b/>
        </w:rPr>
        <w:t xml:space="preserve">PR-021 — </w:t>
      </w:r>
      <w:r>
        <w:t>Çevrimdışı kullanım temel davranıştır.</w:t>
      </w:r>
    </w:p>
    <w:p>
      <w:pPr>
        <w:spacing w:after="60"/>
      </w:pPr>
      <w:r>
        <w:rPr>
          <w:b/>
        </w:rPr>
        <w:t xml:space="preserve">PR-022 — </w:t>
      </w:r>
      <w:r>
        <w:t>Büyük dosyalar şifreli kasada, metadata ve ilişkiler SQLite’ta tutulur.</w:t>
      </w:r>
    </w:p>
    <w:p>
      <w:pPr>
        <w:spacing w:after="60"/>
      </w:pPr>
      <w:r>
        <w:rPr>
          <w:b/>
        </w:rPr>
        <w:t xml:space="preserve">PR-023 — </w:t>
      </w:r>
      <w:r>
        <w:t>Veri şeması sürümlüdür.</w:t>
      </w:r>
    </w:p>
    <w:p>
      <w:pPr>
        <w:spacing w:after="60"/>
      </w:pPr>
      <w:r>
        <w:rPr>
          <w:b/>
        </w:rPr>
        <w:t xml:space="preserve">PR-024 — </w:t>
      </w:r>
      <w:r>
        <w:t>Geri döndürülemez migration, gerçek veri silme veya veri mülkiyetini değiştiren işlem açık kullanıcı onayı olmadan yapılamaz.</w:t>
      </w:r>
    </w:p>
    <w:p>
      <w:pPr>
        <w:spacing w:after="60"/>
      </w:pPr>
      <w:r>
        <w:rPr>
          <w:b/>
        </w:rPr>
        <w:t xml:space="preserve">PR-025 — </w:t>
      </w:r>
      <w:r>
        <w:t>Önemli veri değişiklikleri aktör, zaman, eski/yeni değer ve gerekçeyle izlenebilir olmalıdır.</w:t>
      </w:r>
    </w:p>
    <w:p>
      <w:pPr>
        <w:spacing w:after="60"/>
      </w:pPr>
      <w:r>
        <w:rPr>
          <w:b/>
        </w:rPr>
        <w:t xml:space="preserve">PR-026 — </w:t>
      </w:r>
      <w:r>
        <w:t>Temel güvenlik ilkesi varsayılan reddetmedir; açık izin yoksa kritik işlem reddedilir.</w:t>
      </w:r>
    </w:p>
    <w:p>
      <w:pPr>
        <w:spacing w:after="60"/>
      </w:pPr>
      <w:r>
        <w:rPr>
          <w:b/>
        </w:rPr>
        <w:t xml:space="preserve">PR-027 — </w:t>
      </w:r>
      <w:r>
        <w:t>En az yetki ilkesi zorunludur.</w:t>
      </w:r>
    </w:p>
    <w:p>
      <w:pPr>
        <w:spacing w:after="60"/>
      </w:pPr>
      <w:r>
        <w:rPr>
          <w:b/>
        </w:rPr>
        <w:t xml:space="preserve">PR-028 — </w:t>
      </w:r>
      <w:r>
        <w:t>Windows Hello tercihli kimlik doğrulamadır; güçlü yerel parola yedek yöntemdir.</w:t>
      </w:r>
    </w:p>
    <w:p>
      <w:pPr>
        <w:spacing w:after="60"/>
      </w:pPr>
      <w:r>
        <w:rPr>
          <w:b/>
        </w:rPr>
        <w:t xml:space="preserve">PR-029 — </w:t>
      </w:r>
      <w:r>
        <w:t>TOTP, tek kullanımlık kurtarma kodları ve FIDO2/WebAuthn desteklenir.</w:t>
      </w:r>
    </w:p>
    <w:p>
      <w:pPr>
        <w:spacing w:after="60"/>
      </w:pPr>
      <w:r>
        <w:rPr>
          <w:b/>
        </w:rPr>
        <w:t xml:space="preserve">PR-030 — </w:t>
      </w:r>
      <w:r>
        <w:t>Varsayılan boşta kalma oturum süresi 15 dakikadır.</w:t>
      </w:r>
    </w:p>
    <w:p>
      <w:pPr>
        <w:spacing w:after="60"/>
      </w:pPr>
      <w:r>
        <w:rPr>
          <w:b/>
        </w:rPr>
        <w:t xml:space="preserve">PR-031 — </w:t>
      </w:r>
      <w:r>
        <w:t>Beş başarısız giriş 15 dakikalık kilit oluşturur.</w:t>
      </w:r>
    </w:p>
    <w:p>
      <w:pPr>
        <w:spacing w:after="60"/>
      </w:pPr>
      <w:r>
        <w:rPr>
          <w:b/>
        </w:rPr>
        <w:t xml:space="preserve">PR-032 — </w:t>
      </w:r>
      <w:r>
        <w:t>Giriş, kilit, parola ve cihaz işlemleri audit edilir.</w:t>
      </w:r>
    </w:p>
    <w:p>
      <w:pPr>
        <w:spacing w:after="60"/>
      </w:pPr>
      <w:r>
        <w:rPr>
          <w:b/>
        </w:rPr>
        <w:t xml:space="preserve">PR-033 — </w:t>
      </w:r>
      <w:r>
        <w:t>Yeni cihaz eski cihaz güvenini otomatik devralamaz.</w:t>
      </w:r>
    </w:p>
    <w:p>
      <w:pPr>
        <w:spacing w:after="60"/>
      </w:pPr>
      <w:r>
        <w:rPr>
          <w:b/>
        </w:rPr>
        <w:t xml:space="preserve">PR-034 — </w:t>
      </w:r>
      <w:r>
        <w:t>Yedekten geri yükleme yeni cihaza otomatik yetki vermez.</w:t>
      </w:r>
    </w:p>
    <w:p>
      <w:pPr>
        <w:spacing w:after="60"/>
      </w:pPr>
      <w:r>
        <w:rPr>
          <w:b/>
        </w:rPr>
        <w:t xml:space="preserve">PR-035 — </w:t>
      </w:r>
      <w:r>
        <w:t>Taşınabilir kullanıcı verisi ile cihaza bağlı güvenlik sırları ayrıdır.</w:t>
      </w:r>
    </w:p>
    <w:p>
      <w:pPr>
        <w:spacing w:after="60"/>
      </w:pPr>
      <w:r>
        <w:rPr>
          <w:b/>
        </w:rPr>
        <w:t xml:space="preserve">PR-036 — </w:t>
      </w:r>
      <w:r>
        <w:t>Güvenlik kontrolü sessizce kaldırılamaz veya zayıflatılamaz; karar kaydı, risk/etki analizi ve ürün sahibi onayı gerekir.</w:t>
      </w:r>
    </w:p>
    <w:p>
      <w:pPr>
        <w:spacing w:after="60"/>
      </w:pPr>
      <w:r>
        <w:rPr>
          <w:b/>
        </w:rPr>
        <w:t xml:space="preserve">PR-037 — </w:t>
      </w:r>
      <w:r>
        <w:t>Electron renderer nodeIntegration:false, contextIsolation:true ve sandbox:true ile çalışır.</w:t>
      </w:r>
    </w:p>
    <w:p>
      <w:pPr>
        <w:spacing w:after="60"/>
      </w:pPr>
      <w:r>
        <w:rPr>
          <w:b/>
        </w:rPr>
        <w:t xml:space="preserve">PR-038 — </w:t>
      </w:r>
      <w:r>
        <w:t>IPC yalnız kayıtlı ana renderer, ana frame ve güvenilir belgeden kabul edilir.</w:t>
      </w:r>
    </w:p>
    <w:p>
      <w:pPr>
        <w:spacing w:after="60"/>
      </w:pPr>
      <w:r>
        <w:rPr>
          <w:b/>
        </w:rPr>
        <w:t xml:space="preserve">PR-039 — </w:t>
      </w:r>
      <w:r>
        <w:t>IPC payload’ları merkezi boyut, derinlik ve güvenlik kontrolünden geçer.</w:t>
      </w:r>
    </w:p>
    <w:p>
      <w:pPr>
        <w:spacing w:after="60"/>
      </w:pPr>
      <w:r>
        <w:rPr>
          <w:b/>
        </w:rPr>
        <w:t xml:space="preserve">PR-040 — </w:t>
      </w:r>
      <w:r>
        <w:t>Webview, izinsiz navigation, redirect, download ve permission talepleri varsayılan reddedilir.</w:t>
      </w:r>
    </w:p>
    <w:p>
      <w:pPr>
        <w:spacing w:after="60"/>
      </w:pPr>
      <w:r>
        <w:rPr>
          <w:b/>
        </w:rPr>
        <w:t xml:space="preserve">PR-041 — </w:t>
      </w:r>
      <w:r>
        <w:t>AI sağlayıcısı varsayılan kapalıdır.</w:t>
      </w:r>
    </w:p>
    <w:p>
      <w:pPr>
        <w:spacing w:after="60"/>
      </w:pPr>
      <w:r>
        <w:rPr>
          <w:b/>
        </w:rPr>
        <w:t xml:space="preserve">PR-042 — </w:t>
      </w:r>
      <w:r>
        <w:t>AI yalnız kullanıcının hem veri erişimine hem AI işlemesine izin verdiği kayıtları kullanabilir.</w:t>
      </w:r>
    </w:p>
    <w:p>
      <w:pPr>
        <w:spacing w:after="60"/>
      </w:pPr>
      <w:r>
        <w:rPr>
          <w:b/>
        </w:rPr>
        <w:t xml:space="preserve">PR-043 — </w:t>
      </w:r>
      <w:r>
        <w:t>Sağlık, finans, çocuk ve canlı konum AI açısından yüksek hassasiyetlidir.</w:t>
      </w:r>
    </w:p>
    <w:p>
      <w:pPr>
        <w:spacing w:after="60"/>
      </w:pPr>
      <w:r>
        <w:rPr>
          <w:b/>
        </w:rPr>
        <w:t xml:space="preserve">PR-044 — </w:t>
      </w:r>
      <w:r>
        <w:t>AI önerileri insan onayı olmadan kesin veya otoritatif kayıt oluşturamaz.</w:t>
      </w:r>
    </w:p>
    <w:p>
      <w:pPr>
        <w:spacing w:after="60"/>
      </w:pPr>
      <w:r>
        <w:rPr>
          <w:b/>
        </w:rPr>
        <w:t xml:space="preserve">PR-045 — </w:t>
      </w:r>
      <w:r>
        <w:t>Kullanıcı AI hafızasını görebilmeli, düzeltebilmeli, sınırlandırabilmeli ve silebilmelidir.</w:t>
      </w:r>
    </w:p>
    <w:p>
      <w:pPr>
        <w:spacing w:after="60"/>
      </w:pPr>
      <w:r>
        <w:rPr>
          <w:b/>
        </w:rPr>
        <w:t xml:space="preserve">PR-046 — </w:t>
      </w:r>
      <w:r>
        <w:t>Yedek hedefleri yerel disk, harici disk ve bulut sağlayıcı adaptörü olarak birbirinden bağımsız çalışır.</w:t>
      </w:r>
    </w:p>
    <w:p>
      <w:pPr>
        <w:spacing w:after="60"/>
      </w:pPr>
      <w:r>
        <w:rPr>
          <w:b/>
        </w:rPr>
        <w:t xml:space="preserve">PR-047 — </w:t>
      </w:r>
      <w:r>
        <w:t>Bir yedek hedefinin arızası diğer hedefleri durduramaz.</w:t>
      </w:r>
    </w:p>
    <w:p>
      <w:pPr>
        <w:spacing w:after="60"/>
      </w:pPr>
      <w:r>
        <w:rPr>
          <w:b/>
        </w:rPr>
        <w:t xml:space="preserve">PR-048 — </w:t>
      </w:r>
      <w:r>
        <w:t>Her yedek hedefi için bağlantı, boş alan, son başarı, doğrulama, boyut, hash, hız ve hata ayrı izlenir.</w:t>
      </w:r>
    </w:p>
    <w:p>
      <w:pPr>
        <w:spacing w:after="60"/>
      </w:pPr>
      <w:r>
        <w:rPr>
          <w:b/>
        </w:rPr>
        <w:t xml:space="preserve">PR-049 — </w:t>
      </w:r>
      <w:r>
        <w:t>Her zaman en az bir tam ve doğrulanmış yedek korunmalıdır.</w:t>
      </w:r>
    </w:p>
    <w:p>
      <w:pPr>
        <w:spacing w:after="60"/>
      </w:pPr>
      <w:r>
        <w:rPr>
          <w:b/>
        </w:rPr>
        <w:t xml:space="preserve">PR-050 — </w:t>
      </w:r>
      <w:r>
        <w:t>OneDrive ilk öncelikli bulut hedefidir; mimari iCloud, Google Drive ve diğer sağlayıcılara adapter ile açık kalır.</w:t>
      </w:r>
    </w:p>
    <w:p>
      <w:pPr>
        <w:spacing w:after="60"/>
      </w:pPr>
      <w:r>
        <w:rPr>
          <w:b/>
        </w:rPr>
        <w:t xml:space="preserve">PR-051 — </w:t>
      </w:r>
      <w:r>
        <w:t>Yedek şifreli ve doğrulanmış olmak zorundadır.</w:t>
      </w:r>
    </w:p>
    <w:p>
      <w:pPr>
        <w:spacing w:after="60"/>
      </w:pPr>
      <w:r>
        <w:rPr>
          <w:b/>
        </w:rPr>
        <w:t xml:space="preserve">PR-052 — </w:t>
      </w:r>
      <w:r>
        <w:t>Restore öncesi bütünlük kontrolü yapılır.</w:t>
      </w:r>
    </w:p>
    <w:p>
      <w:pPr>
        <w:spacing w:after="60"/>
      </w:pPr>
      <w:r>
        <w:rPr>
          <w:b/>
        </w:rPr>
        <w:t xml:space="preserve">PR-053 — </w:t>
      </w:r>
      <w:r>
        <w:t>Bozuk veri izole edilir ve rollback imkânı bulunur.</w:t>
      </w:r>
    </w:p>
    <w:p>
      <w:pPr>
        <w:spacing w:after="60"/>
      </w:pPr>
      <w:r>
        <w:rPr>
          <w:b/>
        </w:rPr>
        <w:t xml:space="preserve">PR-054 — </w:t>
      </w:r>
      <w:r>
        <w:t>Yeni cihaz restore işleminden sonra yeniden kimlik ve cihaz yetkilendirmesi gerekir.</w:t>
      </w:r>
    </w:p>
    <w:p>
      <w:pPr>
        <w:spacing w:after="60"/>
      </w:pPr>
      <w:r>
        <w:rPr>
          <w:b/>
        </w:rPr>
        <w:t xml:space="preserve">PR-055 — </w:t>
      </w:r>
      <w:r>
        <w:t>İlk içe alınan dosya sürümü değişmez dijital kanıt olarak korunur.</w:t>
      </w:r>
    </w:p>
    <w:p>
      <w:pPr>
        <w:spacing w:after="60"/>
      </w:pPr>
      <w:r>
        <w:rPr>
          <w:b/>
        </w:rPr>
        <w:t xml:space="preserve">PR-056 — </w:t>
      </w:r>
      <w:r>
        <w:t>Arşivleme silme değildir; arşivlenen kayıt aktif görünümden çıkar fakat veri korunur.</w:t>
      </w:r>
    </w:p>
    <w:p>
      <w:pPr>
        <w:spacing w:after="60"/>
      </w:pPr>
      <w:r>
        <w:rPr>
          <w:b/>
        </w:rPr>
        <w:t xml:space="preserve">PR-057 — </w:t>
      </w:r>
      <w:r>
        <w:t>Kalıcı imha işlemleri güçlü doğrulama ve kayıt gerektirir.</w:t>
      </w:r>
    </w:p>
    <w:p>
      <w:pPr>
        <w:spacing w:after="60"/>
      </w:pPr>
      <w:r>
        <w:rPr>
          <w:b/>
        </w:rPr>
        <w:t xml:space="preserve">PR-058 — </w:t>
      </w:r>
      <w:r>
        <w:t>SSD/TRIM/wear-leveling gibi teknik sınırlar nedeniyle doğrulanamayan fiziksel silme için mutlak imha iddiası yapılamaz.</w:t>
      </w:r>
    </w:p>
    <w:p>
      <w:pPr>
        <w:spacing w:after="60"/>
      </w:pPr>
      <w:r>
        <w:rPr>
          <w:b/>
        </w:rPr>
        <w:t xml:space="preserve">PR-059 — </w:t>
      </w:r>
      <w:r>
        <w:t>Dijital miras işlemleri geri döndürülebilir tasarlanır.</w:t>
      </w:r>
    </w:p>
    <w:p>
      <w:pPr>
        <w:spacing w:after="60"/>
      </w:pPr>
      <w:r>
        <w:rPr>
          <w:b/>
        </w:rPr>
        <w:t xml:space="preserve">PR-060 — </w:t>
      </w:r>
      <w:r>
        <w:t>Vefat sonrası kritik erişim/içerik işlemleri en az iki yönetici onayı, bekleme süresi, audit ve iptal/geri alma mekanizması gerektirir.</w:t>
      </w:r>
    </w:p>
    <w:p>
      <w:pPr>
        <w:spacing w:after="60"/>
      </w:pPr>
      <w:r>
        <w:rPr>
          <w:b/>
        </w:rPr>
        <w:t xml:space="preserve">PR-061 — </w:t>
      </w:r>
      <w:r>
        <w:t>İlk gerçek geliştirme ve kullanım platformu Windows masaüstüdür.</w:t>
      </w:r>
    </w:p>
    <w:p>
      <w:pPr>
        <w:spacing w:after="60"/>
      </w:pPr>
      <w:r>
        <w:rPr>
          <w:b/>
        </w:rPr>
        <w:t xml:space="preserve">PR-062 — </w:t>
      </w:r>
      <w:r>
        <w:t>Mimari macOS, iPhone, iPad, Apple Watch ve Apple Vision Pro’ya genişlemeye uygun tutulur.</w:t>
      </w:r>
    </w:p>
    <w:p>
      <w:pPr>
        <w:spacing w:after="60"/>
      </w:pPr>
      <w:r>
        <w:rPr>
          <w:b/>
        </w:rPr>
        <w:t xml:space="preserve">PR-063 — </w:t>
      </w:r>
      <w:r>
        <w:t>Apple/mobil istemciler ilk aşamada Windows çekirdeğinden veri alan companion istemcilerdir.</w:t>
      </w:r>
    </w:p>
    <w:p>
      <w:pPr>
        <w:spacing w:after="60"/>
      </w:pPr>
      <w:r>
        <w:rPr>
          <w:b/>
        </w:rPr>
        <w:t xml:space="preserve">PR-064 — </w:t>
      </w:r>
      <w:r>
        <w:t>Mobil istemci bağımsız ana veri kaynağı veya bağımsız işlem motoru değildir.</w:t>
      </w:r>
    </w:p>
    <w:p>
      <w:pPr>
        <w:spacing w:after="60"/>
      </w:pPr>
      <w:r>
        <w:rPr>
          <w:b/>
        </w:rPr>
        <w:t xml:space="preserve">PR-065 — </w:t>
      </w:r>
      <w:r>
        <w:t>Arayüz Apple tasarım ilkelerinden esinlenir ancak özgün Anadolu Parsı marka kimliği kullanır.</w:t>
      </w:r>
    </w:p>
    <w:p>
      <w:pPr>
        <w:spacing w:after="60"/>
      </w:pPr>
      <w:r>
        <w:rPr>
          <w:b/>
        </w:rPr>
        <w:t xml:space="preserve">PR-066 — </w:t>
      </w:r>
      <w:r>
        <w:t>Apple font dosyaları uygulamaya gömülmez; yerel sistem fontu ve güvenli fallback zinciri kullanılır.</w:t>
      </w:r>
    </w:p>
    <w:p>
      <w:pPr>
        <w:spacing w:after="60"/>
      </w:pPr>
      <w:r>
        <w:rPr>
          <w:b/>
        </w:rPr>
        <w:t xml:space="preserve">PR-067 — </w:t>
      </w:r>
      <w:r>
        <w:t>Klavye kullanımı desteklenmek zorundadır.</w:t>
      </w:r>
    </w:p>
    <w:p>
      <w:pPr>
        <w:spacing w:after="60"/>
      </w:pPr>
      <w:r>
        <w:rPr>
          <w:b/>
        </w:rPr>
        <w:t xml:space="preserve">PR-068 — </w:t>
      </w:r>
      <w:r>
        <w:t>Ekran okuyucu etiketleri zorunludur.</w:t>
      </w:r>
    </w:p>
    <w:p>
      <w:pPr>
        <w:spacing w:after="60"/>
      </w:pPr>
      <w:r>
        <w:rPr>
          <w:b/>
        </w:rPr>
        <w:t xml:space="preserve">PR-069 — </w:t>
      </w:r>
      <w:r>
        <w:t>Ölçeklenebilir metin, yüksek kontrast, görünür odak ve renk dışı durum anlatımı zorunludur.</w:t>
      </w:r>
    </w:p>
    <w:p>
      <w:pPr>
        <w:spacing w:after="60"/>
      </w:pPr>
      <w:r>
        <w:rPr>
          <w:b/>
        </w:rPr>
        <w:t xml:space="preserve">PR-070 — </w:t>
      </w:r>
      <w:r>
        <w:t>Hata mesajı sorunu ve kullanıcının yapması gereken eylemi birlikte açıklamalıdır.</w:t>
      </w:r>
    </w:p>
    <w:p>
      <w:pPr>
        <w:spacing w:after="60"/>
      </w:pPr>
      <w:r>
        <w:rPr>
          <w:b/>
        </w:rPr>
        <w:t xml:space="preserve">PR-071 — </w:t>
      </w:r>
      <w:r>
        <w:t>Temel etkileşim hedefi en az 44 px olmalıdır.</w:t>
      </w:r>
    </w:p>
    <w:p>
      <w:pPr>
        <w:spacing w:after="60"/>
      </w:pPr>
      <w:r>
        <w:rPr>
          <w:b/>
        </w:rPr>
        <w:t xml:space="preserve">PR-072 — </w:t>
      </w:r>
      <w:r>
        <w:t>Geri döndürülebilir teknik iyileştirmeler için her seferinde ayrıca kullanıcı onayı gerekmez.</w:t>
      </w:r>
    </w:p>
    <w:p>
      <w:pPr>
        <w:spacing w:after="60"/>
      </w:pPr>
      <w:r>
        <w:rPr>
          <w:b/>
        </w:rPr>
        <w:t xml:space="preserve">PR-073 — </w:t>
      </w:r>
      <w:r>
        <w:t>Kapsam değişikliği ayrıca açık kullanıcı onayı gerektirir.</w:t>
      </w:r>
    </w:p>
    <w:p>
      <w:pPr>
        <w:spacing w:after="60"/>
      </w:pPr>
      <w:r>
        <w:rPr>
          <w:b/>
        </w:rPr>
        <w:t xml:space="preserve">PR-074 — </w:t>
      </w:r>
      <w:r>
        <w:t>Geri döndürülemez işlem ayrıca açık kullanıcı onayı gerektirir.</w:t>
      </w:r>
    </w:p>
    <w:p>
      <w:pPr>
        <w:spacing w:after="60"/>
      </w:pPr>
      <w:r>
        <w:rPr>
          <w:b/>
        </w:rPr>
        <w:t xml:space="preserve">PR-075 — </w:t>
      </w:r>
      <w:r>
        <w:t>Gerçek veri silme ayrıca açık kullanıcı onayı gerektirir.</w:t>
      </w:r>
    </w:p>
    <w:p>
      <w:pPr>
        <w:spacing w:after="60"/>
      </w:pPr>
      <w:r>
        <w:rPr>
          <w:b/>
        </w:rPr>
        <w:t xml:space="preserve">PR-076 — </w:t>
      </w:r>
      <w:r>
        <w:t>Veri mülkiyetini etkileyen değişiklik ayrıca açık kullanıcı onayı gerektirir.</w:t>
      </w:r>
    </w:p>
    <w:p>
      <w:pPr>
        <w:spacing w:after="60"/>
      </w:pPr>
      <w:r>
        <w:rPr>
          <w:b/>
        </w:rPr>
        <w:t xml:space="preserve">PR-077 — </w:t>
      </w:r>
      <w:r>
        <w:t>Hukuki veya finansal taahhüt ayrıca açık kullanıcı onayı gerektirir.</w:t>
      </w:r>
    </w:p>
    <w:p>
      <w:pPr>
        <w:spacing w:after="60"/>
      </w:pPr>
      <w:r>
        <w:rPr>
          <w:b/>
        </w:rPr>
        <w:t xml:space="preserve">PR-078 — </w:t>
      </w:r>
      <w:r>
        <w:t>Güvenlik kontrolünü zayıflatma ayrıca açık kullanıcı onayı gerektirir.</w:t>
      </w:r>
    </w:p>
    <w:p>
      <w:pPr>
        <w:spacing w:after="60"/>
      </w:pPr>
      <w:r>
        <w:rPr>
          <w:b/>
        </w:rPr>
        <w:t xml:space="preserve">PR-079 — </w:t>
      </w:r>
      <w:r>
        <w:t>Üretim yayını ayrıca açık kullanıcı onayı gerektirir.</w:t>
      </w:r>
    </w:p>
    <w:p>
      <w:pPr>
        <w:spacing w:after="60"/>
      </w:pPr>
      <w:r>
        <w:rPr>
          <w:b/>
        </w:rPr>
        <w:t xml:space="preserve">PR-080 — </w:t>
      </w:r>
      <w:r>
        <w:t>Bronze aktif geliştirme kanalıdır.</w:t>
      </w:r>
    </w:p>
    <w:p>
      <w:pPr>
        <w:spacing w:after="60"/>
      </w:pPr>
      <w:r>
        <w:rPr>
          <w:b/>
        </w:rPr>
        <w:t xml:space="preserve">PR-081 — </w:t>
      </w:r>
      <w:r>
        <w:t>Silver test, kullanıcı kabulü ve geniş doğrulama kanalıdır.</w:t>
      </w:r>
    </w:p>
    <w:p>
      <w:pPr>
        <w:spacing w:after="60"/>
      </w:pPr>
      <w:r>
        <w:rPr>
          <w:b/>
        </w:rPr>
        <w:t xml:space="preserve">PR-082 — </w:t>
      </w:r>
      <w:r>
        <w:t>Gold gerçek üretim ve gerçek kullanım kanalıdır.</w:t>
      </w:r>
    </w:p>
    <w:p>
      <w:pPr>
        <w:spacing w:after="60"/>
      </w:pPr>
      <w:r>
        <w:rPr>
          <w:b/>
        </w:rPr>
        <w:t xml:space="preserve">PR-083 — </w:t>
      </w:r>
      <w:r>
        <w:t>Hiçbir yayın aşamasına otomatik terfi yapılmaz.</w:t>
      </w:r>
    </w:p>
    <w:p>
      <w:pPr>
        <w:spacing w:after="60"/>
      </w:pPr>
      <w:r>
        <w:rPr>
          <w:b/>
        </w:rPr>
        <w:t xml:space="preserve">PR-084 — </w:t>
      </w:r>
      <w:r>
        <w:t>Güncel aşama kullanıcı tarafından değiştirilmedikçe Bronze RC2 Active Development olarak kabul edilir.</w:t>
      </w:r>
    </w:p>
    <w:p>
      <w:pPr>
        <w:spacing w:after="60"/>
      </w:pPr>
      <w:r>
        <w:rPr>
          <w:b/>
        </w:rPr>
        <w:t xml:space="preserve">PR-085 — </w:t>
      </w:r>
      <w:r>
        <w:t>Bronze Final, Code Freeze, Silver veya Gold kendiliğinden ilan edilemez.</w:t>
      </w:r>
    </w:p>
    <w:p>
      <w:pPr>
        <w:spacing w:after="60"/>
      </w:pPr>
      <w:r>
        <w:rPr>
          <w:b/>
        </w:rPr>
        <w:t xml:space="preserve">PR-086 — </w:t>
      </w:r>
      <w:r>
        <w:t>Çalıştırılmamış hiçbir test veya doğrulama PASS sayılamaz.</w:t>
      </w:r>
    </w:p>
    <w:p>
      <w:pPr>
        <w:spacing w:after="60"/>
      </w:pPr>
      <w:r>
        <w:rPr>
          <w:b/>
        </w:rPr>
        <w:t xml:space="preserve">PR-087 — </w:t>
      </w:r>
      <w:r>
        <w:t>Çalıştırılmayan compile, type-check, test, build, smoke, Windows launch, installer, screenshot veya UAT kapısı NOT_RUN kalır.</w:t>
      </w:r>
    </w:p>
    <w:p>
      <w:pPr>
        <w:spacing w:after="60"/>
      </w:pPr>
      <w:r>
        <w:rPr>
          <w:b/>
        </w:rPr>
        <w:t xml:space="preserve">PR-088 — </w:t>
      </w:r>
      <w:r>
        <w:t>Tanı amaçlı --no-sandbox çalıştırması resmî PASS değildir; yalnız DIAGNOSTIC_PASS olarak ayrılır.</w:t>
      </w:r>
    </w:p>
    <w:p>
      <w:pPr>
        <w:spacing w:after="60"/>
      </w:pPr>
      <w:r>
        <w:rPr>
          <w:b/>
        </w:rPr>
        <w:t xml:space="preserve">PR-089 — </w:t>
      </w:r>
      <w:r>
        <w:t>Ara Bronze buildlerinde hedefli regresyon, mimari ve güvenlik kontrolleri uygulanabilir; tam UAT ve toplu ekran görüntüleri final hazırlığına bırakılabilir.</w:t>
      </w:r>
    </w:p>
    <w:p>
      <w:pPr>
        <w:spacing w:after="60"/>
      </w:pPr>
      <w:r>
        <w:rPr>
          <w:b/>
        </w:rPr>
        <w:t xml:space="preserve">PR-090 — </w:t>
      </w:r>
      <w:r>
        <w:t>Final hazırlığında doğrulama sırası: temiz npm ci, tam tsc --noEmit, tüm testler, Electron production build, blocking smoke, sandbox’lı gerçek Windows açılışı, kurulum/açılış/kaldırma, installer doğrulaması, ekran görüntüleri ve kullanıcı dokümantasyonudur.</w:t>
      </w:r>
    </w:p>
    <w:p>
      <w:pPr>
        <w:spacing w:after="60"/>
      </w:pPr>
      <w:r>
        <w:rPr>
          <w:b/>
        </w:rPr>
        <w:t xml:space="preserve">PR-091 — </w:t>
      </w:r>
      <w:r>
        <w:t>Zorunlu doğrulama kapıları geçmeden Final, Silver veya Gold kararı verilmez.</w:t>
      </w:r>
    </w:p>
    <w:p>
      <w:pPr>
        <w:spacing w:after="60"/>
      </w:pPr>
      <w:r>
        <w:rPr>
          <w:b/>
        </w:rPr>
        <w:t xml:space="preserve">PR-092 — </w:t>
      </w:r>
      <w:r>
        <w:t>Her kaynak teslimi manifest ile doğrulanır.</w:t>
      </w:r>
    </w:p>
    <w:p>
      <w:pPr>
        <w:spacing w:after="60"/>
      </w:pPr>
      <w:r>
        <w:rPr>
          <w:b/>
        </w:rPr>
        <w:t xml:space="preserve">PR-093 — </w:t>
      </w:r>
      <w:r>
        <w:t>Her kaynak tesliminde SHA256SUMS.txt bulunur.</w:t>
      </w:r>
    </w:p>
    <w:p>
      <w:pPr>
        <w:spacing w:after="60"/>
      </w:pPr>
      <w:r>
        <w:rPr>
          <w:b/>
        </w:rPr>
        <w:t xml:space="preserve">PR-094 — </w:t>
      </w:r>
      <w:r>
        <w:t>Kaynak ZIP deterministik olmalıdır.</w:t>
      </w:r>
    </w:p>
    <w:p>
      <w:pPr>
        <w:spacing w:after="60"/>
      </w:pPr>
      <w:r>
        <w:rPr>
          <w:b/>
        </w:rPr>
        <w:t xml:space="preserve">PR-095 — </w:t>
      </w:r>
      <w:r>
        <w:t>Kaynak ZIP’in ayrı dış SHA-256 kanıtı bulunmalıdır.</w:t>
      </w:r>
    </w:p>
    <w:p>
      <w:pPr>
        <w:spacing w:after="60"/>
      </w:pPr>
      <w:r>
        <w:rPr>
          <w:b/>
        </w:rPr>
        <w:t xml:space="preserve">PR-096 — </w:t>
      </w:r>
      <w:r>
        <w:t>Aynı kaynak ağacından iki kez üretilen arşiv byte düzeyinde aynı olmalıdır.</w:t>
      </w:r>
    </w:p>
    <w:p>
      <w:pPr>
        <w:spacing w:after="60"/>
      </w:pPr>
      <w:r>
        <w:rPr>
          <w:b/>
        </w:rPr>
        <w:t xml:space="preserve">PR-097 — </w:t>
      </w:r>
      <w:r>
        <w:t>Kod ile bağlayıcı belge çelişemez.</w:t>
      </w:r>
    </w:p>
    <w:p>
      <w:pPr>
        <w:spacing w:after="60"/>
      </w:pPr>
      <w:r>
        <w:rPr>
          <w:b/>
        </w:rPr>
        <w:t xml:space="preserve">PR-098 — </w:t>
      </w:r>
      <w:r>
        <w:t>Mimari, veri şeması, güvenlik, UI/UX, platform, kapsam veya sürüm değişikliği ilgili belgelere işlenir.</w:t>
      </w:r>
    </w:p>
    <w:p>
      <w:pPr>
        <w:spacing w:after="60"/>
      </w:pPr>
      <w:r>
        <w:rPr>
          <w:b/>
        </w:rPr>
        <w:t xml:space="preserve">PR-099 — </w:t>
      </w:r>
      <w:r>
        <w:t>Her yeni bağlayıcı karar benzersiz DEC-xxx kimliğiyle izlenir.</w:t>
      </w:r>
    </w:p>
    <w:p>
      <w:pPr>
        <w:spacing w:after="60"/>
      </w:pPr>
      <w:r>
        <w:rPr>
          <w:b/>
        </w:rPr>
        <w:t xml:space="preserve">PR-100 — </w:t>
      </w:r>
      <w:r>
        <w:t>Karar kaydında tarih, etkilenen belgeler, kod karşılığı ve doğrulama kanıtı bulunur.</w:t>
      </w:r>
    </w:p>
    <w:p>
      <w:pPr>
        <w:spacing w:after="60"/>
      </w:pPr>
      <w:r>
        <w:rPr>
          <w:b/>
        </w:rPr>
        <w:t xml:space="preserve">PR-101 — </w:t>
      </w:r>
      <w:r>
        <w:t>Gerekli belge güncellenmeden ilgili kapsam tamamlandı sayılamaz.</w:t>
      </w:r>
    </w:p>
    <w:p>
      <w:pPr>
        <w:spacing w:after="60"/>
      </w:pPr>
      <w:r>
        <w:rPr>
          <w:b/>
        </w:rPr>
        <w:t xml:space="preserve">PR-102 — </w:t>
      </w:r>
      <w:r>
        <w:t>Tarihsel belgeler silinmez ancak güncel aktif belgelerin önüne geçemez.</w:t>
      </w:r>
    </w:p>
    <w:p>
      <w:pPr>
        <w:spacing w:after="60"/>
      </w:pPr>
      <w:r>
        <w:rPr>
          <w:b/>
        </w:rPr>
        <w:t xml:space="preserve">PR-103 — </w:t>
      </w:r>
      <w:r>
        <w:t>Ana Build Defteri projenin tek yetkili devam noktasıdır; yeni sohbet veya geliştirme oturumu önce bu dosyayı ve güncel kural setini okumalıdır.</w:t>
      </w:r>
    </w:p>
    <w:p>
      <w:pPr>
        <w:spacing w:after="60"/>
      </w:pPr>
      <w:r>
        <w:rPr>
          <w:b/>
        </w:rPr>
        <w:t xml:space="preserve">PR-104 — </w:t>
      </w:r>
      <w:r>
        <w:t>Her build Ana Build Defteri’ne işlenmeden, kural seti SHA-256 özetiyle kabul edilmeden ve build sonrası kullanıcı durum bildirimi kaydedilmeden tamamlanmış sayılamaz.</w:t>
      </w:r>
    </w:p>
    <w:p>
      <w:pPr>
        <w:spacing w:after="60"/>
      </w:pPr>
      <w:r>
        <w:rPr>
          <w:b/>
        </w:rPr>
        <w:t xml:space="preserve">PR-105 — </w:t>
      </w:r>
      <w:r>
        <w:t>Geçmiş build kayıtları geriye dönük değiştirilmez; düzeltme yeni build kaydıyla açıklanır ve yapılan/kalan işler tek Ana Build Defteri üzerinden yürütülür.</w:t>
      </w:r>
    </w:p>
    <w:p>
      <w:pPr>
        <w:spacing w:after="60"/>
      </w:pPr>
      <w:r>
        <w:rPr>
          <w:b/>
        </w:rPr>
        <w:t xml:space="preserve">PR-106 — </w:t>
      </w:r>
      <w:r>
        <w:t>Her build tamamlandıktan sonra sohbet bağlamının tahmini kullanılan ve kalan yüzdesi hesaplanır, Ana Build Defteri build kaydına yazılır ve build sonu kullanıcı durum bildiriminde açıkça belirtilir.</w:t>
      </w:r>
    </w:p>
    <w:p>
      <w:pPr>
        <w:spacing w:after="60"/>
      </w:pPr>
      <w:r>
        <w:rPr>
          <w:b/>
        </w:rPr>
        <w:t xml:space="preserve">PR-107 — </w:t>
      </w:r>
      <w:r>
        <w:t>Sohbet bağlamı için yüzde 85-89 tahmini kullanım uyarı bölgesidir; kullanıcıya yaklaşan sohbet devri bildirilir ve uzun yeni işlerin aynı sohbette başlatılmasından kaçınılır.</w:t>
      </w:r>
    </w:p>
    <w:p>
      <w:pPr>
        <w:spacing w:after="60"/>
      </w:pPr>
      <w:r>
        <w:rPr>
          <w:b/>
        </w:rPr>
        <w:t xml:space="preserve">PR-108 — </w:t>
      </w:r>
      <w:r>
        <w:t>Sohbet bağlamının tahmini kullanımı yüzde 90 veya üzerindeyse yeni build başlatılamaz; mevcut tamamlanmış build devir noktası olarak korunur ve build başlangıç kapısı işlemi reddeder.</w:t>
      </w:r>
    </w:p>
    <w:p>
      <w:pPr>
        <w:spacing w:after="60"/>
      </w:pPr>
      <w:r>
        <w:rPr>
          <w:b/>
        </w:rPr>
        <w:t xml:space="preserve">PR-109 — </w:t>
      </w:r>
      <w:r>
        <w:t>Yüzde 90 veya üzeri tahmini sohbet kullanımında yeni sohbet için kopyalanabilir devir promptu zorunlu olarak üretilir; prompt son build/sürüm/durum, güncel kural sürümü ve SHA-256, sıradaki açık iş, kalan işler, yetkili Ana Build Defteri ve kaynak paket konumunu içermelidir.</w:t>
      </w:r>
    </w:p>
    <w:p>
      <w:pPr>
        <w:spacing w:after="60"/>
      </w:pPr>
      <w:r>
        <w:rPr>
          <w:b/>
        </w:rPr>
        <w:t xml:space="preserve">PR-110 — </w:t>
      </w:r>
      <w:r>
        <w:t>Yeni sohbet, üretilmiş devir promptu ve Ana Build Defteri üzerinden devam eder; kullanıcıdan proje kurallarını veya nerede kalındığını yeniden öğretmesi istenmez.</w:t>
      </w:r>
    </w:p>
    <w:p>
      <w:pPr>
        <w:spacing w:after="60"/>
      </w:pPr>
      <w:r>
        <w:rPr>
          <w:b/>
        </w:rPr>
        <w:t xml:space="preserve">PR-111 — </w:t>
      </w:r>
      <w:r>
        <w:t>Yüzde 90 sohbet devri eşiği istisnasızdır; eşik aşıldığında teknik kolaylık, aciliyet veya küçük değişiklik gerekçesiyle aynı sohbette yeni build başlatma yolu açılamaz.</w:t>
      </w:r>
    </w:p>
    <w:p>
      <w:pPr>
        <w:spacing w:after="60"/>
      </w:pPr>
      <w:r>
        <w:rPr>
          <w:b/>
        </w:rPr>
        <w:t xml:space="preserve">PR-112 — </w:t>
      </w:r>
      <w:r>
        <w:t>20 Temmuz 2026 öncesi bütün sohbet, belge, dosya, karar ve bağlam bu proje için FORBIDDEN_SOURCE kabul edilir; aynı bilgi ancak 20 Temmuz 2026 veya sonrasında açıkça yeniden kabul edilmiş bir kaynakta yer alıyorsa kullanılabilir.</w:t>
      </w:r>
    </w:p>
    <w:p>
      <w:pPr>
        <w:spacing w:after="60"/>
      </w:pPr>
      <w:r>
        <w:rPr>
          <w:b/>
        </w:rPr>
        <w:t xml:space="preserve">PR-113 — </w:t>
      </w:r>
      <w:r>
        <w:t>Eski sohbetler veya eski projeler silinemese dahi bu projeyle ilişkilendirilemez, bunlardan bilgi aktarılmaz, proje yanıtlarında gösterilmez ve yeni build planı türetilmez.</w:t>
      </w:r>
    </w:p>
    <w:p>
      <w:pPr>
        <w:spacing w:after="60"/>
      </w:pPr>
      <w:r>
        <w:rPr>
          <w:b/>
        </w:rPr>
        <w:t xml:space="preserve">PR-114 — </w:t>
      </w:r>
      <w:r>
        <w:t>Kullanıcı yeni bir öneri ilettiğinde öneri uygulanmadan önce kapsam, mimari, güvenlik, gizlilik, veri bütünlüğü, performans, UI/UX, erişilebilirlik, yedekleme, migration, rollback, test, platform, belge, süre ve teknik borç etkileri kapsamlı analiz edilir; optimize edilmiş öneri kullanıcıya sunulur ve kesin karar bu analiz üzerinden alınır.</w:t>
      </w:r>
    </w:p>
    <w:p>
      <w:pPr>
        <w:spacing w:after="60"/>
      </w:pPr>
      <w:r>
        <w:rPr>
          <w:b/>
        </w:rPr>
        <w:t xml:space="preserve">PR-115 — </w:t>
      </w:r>
      <w:r>
        <w:t>Her build sonunda tahmini kodlama tamamlanma yüzdesi, kalan kodlama yüzdesi, 20.07.2026 başlangıcından geçen süre, yakın dönem geliştirme hızı, tahmini Bronze Final/Silver/Gold veya genel bitiş tarihleri ve tahmin güven düzeyi hesaplanır; build sonu zorunlu bildirime ve Ana Build Defteri kaydına eklenir.</w:t>
      </w:r>
    </w:p>
    <w:p>
      <w:pPr>
        <w:spacing w:after="60"/>
      </w:pPr>
      <w:r>
        <w:rPr>
          <w:b/>
        </w:rPr>
        <w:t xml:space="preserve">PR-116 — </w:t>
      </w:r>
      <w:r>
        <w:t>Marka mimarisi zorunludur: üst marka “Panthera pardus tulliana”, kullanıcıya görünen uygulama adı “Anadolu Parsı Aile Yaşam Merkezi”dir; Latin üst marka adı normal uygulama ekranlarında kullanılmaz ve yeni uygulama adları “Anadolu Parsı + işlevsel ad” kuralını izler.</w:t>
      </w:r>
    </w:p>
    <w:p>
      <w:pPr>
        <w:spacing w:after="60"/>
      </w:pPr>
      <w:r>
        <w:rPr>
          <w:b/>
        </w:rPr>
        <w:t xml:space="preserve">PR-117 — </w:t>
      </w:r>
      <w:r>
        <w:t>Her buildde tüm aktif sürüm taşıyan kaynak, paket, APP_META, config, manifest, installer metadata, aktif belge ve teslim yüzeyi aynı build sürümüne yükseltilir; aktif alanda eski sürüm driftine veya build atlamasına izin verilmez. Tarihsel kanıt dosyaları kendi özgün build numarasını korur ve aktif dosyalardan açıkça ayrılır.</w:t>
      </w:r>
    </w:p>
    <w:p>
      <w:pPr>
        <w:spacing w:after="60"/>
      </w:pPr>
      <w:r>
        <w:rPr>
          <w:b/>
        </w:rPr>
        <w:t xml:space="preserve">PR-118 — </w:t>
      </w:r>
      <w:r>
        <w:t>20 Temmuz 2026 öncesinde geliştirilmiş yatırım/otomatik işlem projesi, broker, Matriks, İş Yatırım, Deniz Yatırım, piyasa verisi veya otomatik emir kararları bu projede bağlam, tasarım veya gereksinim kaynağı olarak kullanılamaz.</w:t>
      </w:r>
    </w:p>
    <w:p>
      <w:pPr>
        <w:spacing w:after="60"/>
      </w:pPr>
      <w:r>
        <w:rPr>
          <w:b/>
        </w:rPr>
        <w:t xml:space="preserve">PR-119 — </w:t>
      </w:r>
      <w:r>
        <w:t>API geliştirme önceliği yaşamsal ihtiyaca göre P0/P1/P2 olarak sınıflandırılır: yedekleme, yapay zekâ ve sistemin zorunlu çalışması için gerekli API/adapter sınırları P0’dır; çekirdek işlevi tamamlayanlar P1’dir; banka ve diğer kurum entegrasyonları P2’dir ve proje kararlı üretime girdikten yaklaşık 5-6 ay sonra değerlendirilir.</w:t>
      </w:r>
    </w:p>
    <w:p>
      <w:pPr>
        <w:spacing w:after="60"/>
      </w:pPr>
      <w:r>
        <w:rPr>
          <w:b/>
        </w:rPr>
        <w:t xml:space="preserve">PR-120 — </w:t>
      </w:r>
      <w:r>
        <w:t>UI Görsel Referans Manifestosu ve 20 Temmuz 2026 sonrası onaylanmış görseller bağlayıcı görsel baseline’dır. Silver’a geçmeden önce gerçek ekranlar bu baseline ile doğrulanır; renk, tipografi, hiyerarşi, navigasyon, bileşen ve erişilebilirlik sözleşmeleri karşılanmadan Silver başlatılamaz.</w:t>
      </w:r>
    </w:p>
    <w:p>
      <w:pPr>
        <w:spacing w:after="60"/>
      </w:pPr>
      <w:r>
        <w:rPr>
          <w:b/>
        </w:rPr>
        <w:t xml:space="preserve">PR-121 — </w:t>
      </w:r>
      <w:r>
        <w:t>Bronze Final’e kadar kullanıcıya sunulan bütün menü, düğme, form, bağlantı ve akış işlevsel olmalıdır. İşlevsiz placeholder UI, boş handler, erişilemeyen özellik veya kullanıcı yüzeyinde atıl işlev bulunamaz. Kararı iptal edilmiş üretim kodu ve UI kaldırılır.</w:t>
      </w:r>
    </w:p>
    <w:p>
      <w:pPr>
        <w:spacing w:after="60"/>
      </w:pPr>
      <w:r>
        <w:rPr>
          <w:b/>
        </w:rPr>
        <w:t xml:space="preserve">PR-122 — </w:t>
      </w:r>
      <w:r>
        <w:t>Üretim uygulaması nötr ve boş başlangıçla açılır; production seed/demo aile, kişi, soy ağacı, finans, sağlık, belge, konum veya olay verisi içeremez. Test fixture’ları yalnız test alanında anonim/nötr olabilir ve üretim paketine giremez.</w:t>
      </w:r>
    </w:p>
    <w:p>
      <w:pPr>
        <w:spacing w:after="60"/>
      </w:pPr>
      <w:r>
        <w:rPr>
          <w:b/>
        </w:rPr>
        <w:t xml:space="preserve">PR-123 — </w:t>
      </w:r>
      <w:r>
        <w:t>Her build sonunda bu projeye ait güncel bilgi, belge, kaynak, kural, karar, test, kanıt, görsel ve teslim dosyalarının tamamını indeksleyen PROJECT_ARTIFACT_INDEX.md ve PROJECT_ARTIFACT_INDEX.json üretilir; kullanıcıya ana teslim bağlantıları ve Artifact Index bağlantısı paylaşılır.</w:t>
      </w:r>
    </w:p>
    <w:p>
      <w:pPr>
        <w:spacing w:after="60"/>
      </w:pPr>
      <w:r>
        <w:rPr>
          <w:b/>
        </w:rPr>
        <w:t xml:space="preserve">PR-124 — </w:t>
      </w:r>
      <w:r>
        <w:t>Alınan her karar aynı build içinde güncel kural setine, Ana Karar Kaydı’na, etkilenen aktif mimari/güvenlik/UI/kapsam/test belgelerine, makine okunur politikalara, kod karşılığına ve Ana Build Defteri’ne yansıtılır; kod ve belge arasında bilinen drift ile build tamamlanamaz.</w:t>
      </w:r>
    </w:p>
    <w:p>
      <w:pPr>
        <w:spacing w:after="60"/>
      </w:pPr>
      <w:r>
        <w:rPr>
          <w:b/>
        </w:rPr>
        <w:t xml:space="preserve">PR-125 — </w:t>
      </w:r>
      <w:r>
        <w:t>Her build sonunda güncel Master Proje Dokümantasyonu hem DOCX hem PDF olarak üretilir ve doğrulanır; etkilenmiş aktif belgeler güncellenmeden ve güncel Word/PDF paketi oluşmadan build COMPLETED olamaz.</w:t>
      </w:r>
    </w:p>
    <w:p>
      <w:pPr>
        <w:spacing w:after="60"/>
      </w:pPr>
      <w:r>
        <w:rPr>
          <w:b/>
        </w:rPr>
        <w:t xml:space="preserve">PR-126 — </w:t>
      </w:r>
      <w:r>
        <w:t>Üretim uygulamasında, aktif kaynakta, aktif belgelerde, görsellerde ve teslim paketlerinde gerçek kişi adı, soyadı, aile adı, kişisel kimlik izi veya özel aile temsili bulunamaz; geçmiş demo aile/kişi kimlikleri de kaynakta tutulamaz. Kullanıcı tarafından sonradan girilen gerçek veriler bu kaynak yasağının dışındadır.</w:t>
      </w:r>
    </w:p>
    <w:p>
      <w:pPr>
        <w:spacing w:after="60"/>
      </w:pPr>
      <w:r>
        <w:rPr>
          <w:b/>
        </w:rPr>
        <w:t xml:space="preserve">PR-127 — </w:t>
      </w:r>
      <w:r>
        <w:t>Geliştirici/üretici/owner/author/copyright metadata dahil aktif proje metadata’sında doğal kişi kimliği kullanılmaz; gerekli sahiplik ve üretici ifadeleri yalnız marka kimliği “Panthera pardus tulliana” ve ürün kimliği üzerinden tutulur.</w:t>
      </w:r>
    </w:p>
    <w:p>
      <w:pPr>
        <w:spacing w:after="60"/>
      </w:pPr>
      <w:r>
        <w:rPr>
          <w:b/>
        </w:rPr>
        <w:t xml:space="preserve">PR-128 — </w:t>
      </w:r>
      <w:r>
        <w:t>Bağlayıcı UI baseline gerçek kaynak sözleşmeleriyle tutarlı olmalıdır: Apple uyumlu sistem font zinciri kullanılır, proprietary SF font dosyası gömülmez; aktif kanal menü rengi Bronze için bakır/bronz, Silver için gümüş, Gold için altın tokenlarından gelir ve renk tek başına anlam taşımaz.</w:t>
      </w:r>
    </w:p>
    <w:p>
      <w:pPr>
        <w:spacing w:after="60"/>
      </w:pPr>
      <w:r>
        <w:rPr>
          <w:b/>
        </w:rPr>
        <w:t xml:space="preserve">PR-129 — </w:t>
      </w:r>
      <w:r>
        <w:t>UI Görsel Referans Manifestosu kişisel/demo içerikten arındırılmış marka ve boş durum referansıdır; örnek kişi, aile, dosya, sağlık, finans veya özel yaşam verisi görsel baseline’a konulamaz.</w:t>
      </w:r>
    </w:p>
    <w:p>
      <w:pPr>
        <w:spacing w:after="60"/>
      </w:pPr>
      <w:r>
        <w:rPr>
          <w:b/>
        </w:rPr>
        <w:t xml:space="preserve">PR-130 — </w:t>
      </w:r>
      <w:r>
        <w:t>Aktif dosyalar ile tarihsel kanıt dosyaları açıkça sınıflandırılır. Aktif dosyalar güncel build sürümünde olmak zorundadır; tarihsel kanıtlar özgün sürümünü korur ve aktif ürün davranışını belirleyemez.</w:t>
      </w:r>
    </w:p>
    <w:p>
      <w:pPr>
        <w:spacing w:after="60"/>
      </w:pPr>
      <w:r>
        <w:rPr>
          <w:b/>
        </w:rPr>
        <w:t xml:space="preserve">PR-131 — </w:t>
      </w:r>
      <w:r>
        <w:t>Her buildde VERSION_SWEEP_GATE çalıştırılır; aktif sürüm taşıyan dosyalarda eski build/sürüm bulunursa build kapanışı reddedilir.</w:t>
      </w:r>
    </w:p>
    <w:p>
      <w:pPr>
        <w:spacing w:after="60"/>
      </w:pPr>
      <w:r>
        <w:rPr>
          <w:b/>
        </w:rPr>
        <w:t xml:space="preserve">PR-132 — </w:t>
      </w:r>
      <w:r>
        <w:t>Her buildde PERSONAL_IDENTITY_SWEEP_GATE çalıştırılır; aktif kaynak, üretim bundle girdileri, aktif belge ve görsel metadata’sında yasak kişisel kimlik bulunursa build kapanışı reddedilir.</w:t>
      </w:r>
    </w:p>
    <w:p>
      <w:pPr>
        <w:spacing w:after="60"/>
      </w:pPr>
      <w:r>
        <w:rPr>
          <w:b/>
        </w:rPr>
        <w:t xml:space="preserve">PR-133 — </w:t>
      </w:r>
      <w:r>
        <w:t>Her buildde PRODUCTION_CLEAN_DATA_GATE çalıştırılır; üretim başlangıç seed’i, demo kullanıcı/aile/kişisel kayıt ve production fixture sayısı sıfır olmadan build kapanışı reddedilir.</w:t>
      </w:r>
    </w:p>
    <w:p>
      <w:pPr>
        <w:spacing w:after="60"/>
      </w:pPr>
      <w:r>
        <w:rPr>
          <w:b/>
        </w:rPr>
        <w:t xml:space="preserve">PR-134 — </w:t>
      </w:r>
      <w:r>
        <w:t>Bronze Final öncesi DEAD_CODE_DEAD_UI_GATE çalıştırılır; kullanıcıya görünen işlevsiz UI ve açıkça iptal edilmiş/erişilemeyen üretim kodu sıfır hedefidir ve tespit edilen kalıntı Final’den önce kaldırılır.</w:t>
      </w:r>
    </w:p>
    <w:p>
      <w:pPr>
        <w:spacing w:after="60"/>
      </w:pPr>
      <w:r>
        <w:rPr>
          <w:b/>
        </w:rPr>
        <w:t xml:space="preserve">PR-135 — </w:t>
      </w:r>
      <w:r>
        <w:t>DOCUMENTATION_CLOSURE_GATE her buildde zorunludur; kararların etkilediği aktif belgeler, Master DOCX/PDF, Ana Build Defteri ve Artifact Index güncel değilse build kapanışı reddedilir.</w:t>
      </w:r>
    </w:p>
    <w:p>
      <w:pPr>
        <w:spacing w:after="60"/>
      </w:pPr>
      <w:r>
        <w:rPr>
          <w:b/>
        </w:rPr>
        <w:t xml:space="preserve">PR-136 — </w:t>
      </w:r>
      <w:r>
        <w:t>ARTIFACT_INDEX_GATE her buildde zorunludur; güncel buildin bütün ana teslimleri ve proje bilgi/belge bağlantıları tek indeks üzerinden izlenebilir olmadan teslim tamamlanmış sayılamaz.</w:t>
      </w:r>
    </w:p>
    <w:p>
      <w:pPr>
        <w:spacing w:after="60"/>
      </w:pPr>
      <w:r>
        <w:rPr>
          <w:b/>
        </w:rPr>
        <w:t xml:space="preserve">PR-137 — </w:t>
      </w:r>
      <w:r>
        <w:t>PROJECT_PROGRESS_MODEL ölçülebilir ve açıklanabilir olmalıdır; kodlama yüzdesi yalnız build sayısından türetilmez, tamamlanan/açık kod işlerinin ağırlıkları ve geliştirme hızıyla hesaplanır; tahminler kesin tarih değil güven düzeyi belirtilmiş yönetim tahminidir.</w:t>
      </w:r>
    </w:p>
    <w:p>
      <w:pPr>
        <w:spacing w:after="60"/>
      </w:pPr>
      <w:r>
        <w:rPr>
          <w:b/>
        </w:rPr>
        <w:t xml:space="preserve">PR-138 — </w:t>
      </w:r>
      <w:r>
        <w:t>PROJECT_PROVENANCE_GATE her sohbet ve build başında zorunludur; 20.07.2026 öncesi kaynağa dayanma girişimi fail-closed reddedilir ve yeni sohbet yalnız Ana Build Defteri ile 20 Temmuz sonrası yetkili kaynaklardan devam eder.</w:t>
      </w:r>
    </w:p>
    <w:p>
      <w:pPr>
        <w:spacing w:after="60"/>
      </w:pPr>
      <w:r>
        <w:rPr>
          <w:b/>
        </w:rPr>
        <w:t xml:space="preserve">PR-139 — </w:t>
      </w:r>
      <w:r>
        <w:t>API_PRIORITY_GATE çekirdek projeyi banka/kurum entegrasyonları nedeniyle geciktiremez; P0 yaşamsal adapter/altyapı işleri önce tamamlanır, P2 kurum entegrasyonları kararlı üretim sonrası döneme ertelenir.</w:t>
      </w:r>
    </w:p>
    <w:p>
      <w:pPr>
        <w:spacing w:after="60"/>
      </w:pPr>
      <w:r>
        <w:rPr>
          <w:b/>
        </w:rPr>
        <w:t xml:space="preserve">PR-140 — </w:t>
      </w:r>
      <w:r>
        <w:t>Bu proje kural seti Proje Anayasasıdır. Güncel anayasa kuralları istisnasız bağlayıcıdır; teknik kolaylık, hız, geçmiş uygulama, eski belge veya sohbet gerekçesiyle aşılamaz, sessizce esnetilemez veya atlanamaz. Değişiklik yalnız açık kullanıcı kararı, yeni build, yeni kural sürümü ve yeni SHA-256 ile yapılabilir.</w:t>
      </w:r>
    </w:p>
    <w:p>
      <w:pPr>
        <w:spacing w:after="60"/>
      </w:pPr>
      <w:r>
        <w:rPr>
          <w:b/>
        </w:rPr>
        <w:t xml:space="preserve">PR-141 — </w:t>
      </w:r>
      <w:r>
        <w:t>Windows ilk kurulumunda normal uygulama ekranından önce Anadolu Parsı marka kimliğine uygun tek seferlik tanıtım ve ilk kullanım sihirbazı çalışır; kullanıcı isterse tanıtımı daha sonra Ayarlar üzerinden yeniden açabilir.</w:t>
      </w:r>
    </w:p>
    <w:p>
      <w:pPr>
        <w:spacing w:after="60"/>
      </w:pPr>
      <w:r>
        <w:rPr>
          <w:b/>
        </w:rPr>
        <w:t xml:space="preserve">PR-142 — </w:t>
      </w:r>
      <w:r>
        <w:t>İlk kullanım tanıtımı sesli Türkçe anlatım, görünür altyazı, sesi kapatma, anlatımı yeniden oynatma ve tanıtımı geçme seçeneklerini işlevsel olarak sunar; erişilebilirlik kullanıcı kontrolündedir.</w:t>
      </w:r>
    </w:p>
    <w:p>
      <w:pPr>
        <w:spacing w:after="60"/>
      </w:pPr>
      <w:r>
        <w:rPr>
          <w:b/>
        </w:rPr>
        <w:t xml:space="preserve">PR-143 — </w:t>
      </w:r>
      <w:r>
        <w:t>Marka anlatım sesi sakin, güven veren ve Anadolu Parsı kimliğine uygun olmalı; kesintisiz veya zorlayıcı ses kullanılmaz, kullanıcı sesleri tamamen kapatabilir.</w:t>
      </w:r>
    </w:p>
    <w:p>
      <w:pPr>
        <w:spacing w:after="60"/>
      </w:pPr>
      <w:r>
        <w:rPr>
          <w:b/>
        </w:rPr>
        <w:t xml:space="preserve">PR-144 — </w:t>
      </w:r>
      <w:r>
        <w:t>İlk kurulum tamamlandığında kısa ve rahatsız etmeyen Anadolu Parsı marka sesi ile onaylı geçiş animasyonu çalışır; sonraki açılışlarda bu efekt zorunlu değildir.</w:t>
      </w:r>
    </w:p>
    <w:p>
      <w:pPr>
        <w:spacing w:after="60"/>
      </w:pPr>
      <w:r>
        <w:rPr>
          <w:b/>
        </w:rPr>
        <w:t xml:space="preserve">PR-145 — </w:t>
      </w:r>
      <w:r>
        <w:t>İlk kurulum akışı kesintiye dayanıklıdır; tanıtım, kimlik oluşturma, güvenlik, kurtarma ve tamamlama adımları açık durum modeliyle yönetilir ve yarım kurulum normal uygulamaya geçemez.</w:t>
      </w:r>
    </w:p>
    <w:p>
      <w:pPr>
        <w:spacing w:after="60"/>
      </w:pPr>
      <w:r>
        <w:rPr>
          <w:b/>
        </w:rPr>
        <w:t xml:space="preserve">PR-146 — </w:t>
      </w:r>
      <w:r>
        <w:t>İlk kullanıcı yerel güçlü parola ile oluşturulabilir; parola koşulları ve eşleşme durumu yazım sırasında canlı ve erişilebilir biçimde gösterilir.</w:t>
      </w:r>
    </w:p>
    <w:p>
      <w:pPr>
        <w:spacing w:after="60"/>
      </w:pPr>
      <w:r>
        <w:rPr>
          <w:b/>
        </w:rPr>
        <w:t xml:space="preserve">PR-147 — </w:t>
      </w:r>
      <w:r>
        <w:t>Apple, Google ve Microsoft haricî kimlik sağlayıcıları aynı sağlayıcı-bağımsız OIDC katmanında tasarlanır; hiçbir sağlayıcı uygulama içi yetkilendirme veya aile verisine otomatik erişim vermez.</w:t>
      </w:r>
    </w:p>
    <w:p>
      <w:pPr>
        <w:spacing w:after="60"/>
      </w:pPr>
      <w:r>
        <w:rPr>
          <w:b/>
        </w:rPr>
        <w:t xml:space="preserve">PR-148 — </w:t>
      </w:r>
      <w:r>
        <w:t>Haricî OIDC akışları Authorization Code, PKCE, state ve nonce kontrolleri olmadan üretime açılamaz; tokenlar düz metin dosyada tutulamaz.</w:t>
      </w:r>
    </w:p>
    <w:p>
      <w:pPr>
        <w:spacing w:after="60"/>
      </w:pPr>
      <w:r>
        <w:rPr>
          <w:b/>
        </w:rPr>
        <w:t xml:space="preserve">PR-149 — </w:t>
      </w:r>
      <w:r>
        <w:t>Apple, Google veya Microsoft ile kimlik oluşturulsa bile çevrimdışı yerel erişim ve hesap kurtarma için Windows Hello, yerel parola veya eşdeğer cihaz-bağlı güvenli yöntem zorunlu olarak korunur.</w:t>
      </w:r>
    </w:p>
    <w:p>
      <w:pPr>
        <w:spacing w:after="60"/>
      </w:pPr>
      <w:r>
        <w:rPr>
          <w:b/>
        </w:rPr>
        <w:t xml:space="preserve">PR-150 — </w:t>
      </w:r>
      <w:r>
        <w:t>Yapılandırılmamış veya üretim kabulü tamamlanmamış haricî kimlik sağlayıcısı işlevsiz aktif düğme olarak gösterilemez; özellik fail-closed ve görünmez/kapalı kalır.</w:t>
      </w:r>
    </w:p>
    <w:p>
      <w:pPr>
        <w:spacing w:after="60"/>
      </w:pPr>
      <w:r>
        <w:rPr>
          <w:b/>
        </w:rPr>
        <w:t xml:space="preserve">PR-151 — </w:t>
      </w:r>
      <w:r>
        <w:t>İlk oluşturulan kullanıcı aile yöneticisi olabilir ancak bu rol diğer yetişkinlerin özel sağlık, finans, belge veya konum verilerine otomatik erişim hakkı vermez.</w:t>
      </w:r>
    </w:p>
    <w:p>
      <w:pPr>
        <w:spacing w:after="60"/>
      </w:pPr>
      <w:r>
        <w:rPr>
          <w:b/>
        </w:rPr>
        <w:t xml:space="preserve">PR-152 — </w:t>
      </w:r>
      <w:r>
        <w:t>İlk kurulumun güvenlik adımında Windows Hello uygun olduğunda önerilir; TOTP, tek kullanımlık kurtarma kodları ve FIDO2/WebAuthn destekleri mevcut anayasal güvenlik sınırlarıyla korunur.</w:t>
      </w:r>
    </w:p>
    <w:p>
      <w:pPr>
        <w:spacing w:after="60"/>
      </w:pPr>
      <w:r>
        <w:rPr>
          <w:b/>
        </w:rPr>
        <w:t xml:space="preserve">PR-153 — </w:t>
      </w:r>
      <w:r>
        <w:t>Kurtarma yöntemi oluşturulmadan ilk kimlik kurulumu güvenlik açısından tamamlanmış sayılmaz; kurtarma materyali kullanıcıya kontrollü biçimde sunulur ve production loglarına yazılmaz.</w:t>
      </w:r>
    </w:p>
    <w:p>
      <w:pPr>
        <w:spacing w:after="60"/>
      </w:pPr>
      <w:r>
        <w:rPr>
          <w:b/>
        </w:rPr>
        <w:t xml:space="preserve">PR-154 — </w:t>
      </w:r>
      <w:r>
        <w:t>Uygulama açılışında kullanıcı kimliği doğrulanmadan aile veritabanı, arşiv içerikleri, sağlık, finans, soy ağacı, zaman tüneli veya diğer kişisel veri depoları açılamaz ve okunamaz.</w:t>
      </w:r>
    </w:p>
    <w:p>
      <w:pPr>
        <w:spacing w:after="60"/>
      </w:pPr>
      <w:r>
        <w:rPr>
          <w:b/>
        </w:rPr>
        <w:t xml:space="preserve">PR-155 — </w:t>
      </w:r>
      <w:r>
        <w:t>Kalıcı kullanıcı verisi diskte AES-256-GCM veya eşdeğer güçlü doğrulanmış şifreleme altında tutulur; düz SQLite ana veritabanı uygulama kapalıyken kalıcı dosya olarak bırakılamaz.</w:t>
      </w:r>
    </w:p>
    <w:p>
      <w:pPr>
        <w:spacing w:after="60"/>
      </w:pPr>
      <w:r>
        <w:rPr>
          <w:b/>
        </w:rPr>
        <w:t xml:space="preserve">PR-156 — </w:t>
      </w:r>
      <w:r>
        <w:t>Kullanıcı veri anahtarının açılması hem kullanıcı sırrına/parolasına hem Windows safeStorage/DPAPI cihaz korumasına bağlanır; yalnız cihaz bağı veya yalnız parola tek başına kalıcı veri kasasını açmaya yetmez.</w:t>
      </w:r>
    </w:p>
    <w:p>
      <w:pPr>
        <w:spacing w:after="60"/>
      </w:pPr>
      <w:r>
        <w:rPr>
          <w:b/>
        </w:rPr>
        <w:t xml:space="preserve">PR-157 — </w:t>
      </w:r>
      <w:r>
        <w:t>Kasa başlığı kişisel veri içeremez; yalnız KDF parametreleri, rastgele tuzlar, anonim anahtar yuvası kimlikleri ve cihaz-korumalı şifreli anahtar zarfları gibi zorunlu kriptografik metadata tutulabilir.</w:t>
      </w:r>
    </w:p>
    <w:p>
      <w:pPr>
        <w:spacing w:after="60"/>
      </w:pPr>
      <w:r>
        <w:rPr>
          <w:b/>
        </w:rPr>
        <w:t xml:space="preserve">PR-158 — </w:t>
      </w:r>
      <w:r>
        <w:t>Başarısız parola veya kimlik doğrulama denemesinde şifresi çözülmüş kullanıcı verisi oturumu kalıcılaştırılamaz; geçici çalışma alanı derhal kapatılır ve silinir.</w:t>
      </w:r>
    </w:p>
    <w:p>
      <w:pPr>
        <w:spacing w:after="60"/>
      </w:pPr>
      <w:r>
        <w:rPr>
          <w:b/>
        </w:rPr>
        <w:t xml:space="preserve">PR-159 — </w:t>
      </w:r>
      <w:r>
        <w:t>Başarılı oturum kapatma, oturum zaman aşımı veya uygulama kapanışında veri deposu önce güvenli biçimde kapatılır, WAL checkpoint uygulanır, kalıcı kasa yeniden şifrelenir ve geçici düz çalışma dosyaları silinir.</w:t>
      </w:r>
    </w:p>
    <w:p>
      <w:pPr>
        <w:spacing w:after="60"/>
      </w:pPr>
      <w:r>
        <w:rPr>
          <w:b/>
        </w:rPr>
        <w:t xml:space="preserve">PR-160 — </w:t>
      </w:r>
      <w:r>
        <w:t>Geçici oturum verisi yalnız kimliği doğrulanmış aktif uygulama oturumu süresince oluşturulabilir; işletim sistemi izinleri mümkün olan en dar kullanıcı erişimiyle ayarlanır ve yol rastgele oturum kimliği taşır.</w:t>
      </w:r>
    </w:p>
    <w:p>
      <w:pPr>
        <w:spacing w:after="60"/>
      </w:pPr>
      <w:r>
        <w:rPr>
          <w:b/>
        </w:rPr>
        <w:t xml:space="preserve">PR-161 — </w:t>
      </w:r>
      <w:r>
        <w:t>Aynı Windows kullanıcı hesabı altında çalışan yönetici yetkili zararlı yazılıma karşı mutlak dosya erişim engeli iddia edilemez; Bronze Final öncesi sayfa-seviyesi/in-use şifreleme veya eşdeğer koruma değerlendirilip kanıtlanmalıdır.</w:t>
      </w:r>
    </w:p>
    <w:p>
      <w:pPr>
        <w:spacing w:after="60"/>
      </w:pPr>
      <w:r>
        <w:rPr>
          <w:b/>
        </w:rPr>
        <w:t xml:space="preserve">PR-162 — </w:t>
      </w:r>
      <w:r>
        <w:t>Arşiv belgesi şifresi çözülmüş geçici dosya olarak haricî uygulamaya shell/openPath ile verilemez; desteklenen türler yalnız uygulamanın güvenli önizleme yüzeyinde gösterilir ve geçici materyal mümkün olan en kısa sürede silinir.</w:t>
      </w:r>
    </w:p>
    <w:p>
      <w:pPr>
        <w:spacing w:after="60"/>
      </w:pPr>
      <w:r>
        <w:rPr>
          <w:b/>
        </w:rPr>
        <w:t xml:space="preserve">PR-163 — </w:t>
      </w:r>
      <w:r>
        <w:t>Desteklenmeyen belge türü güvenlik sınırını aşmak yerine fail-closed reddedilir; haricî uygulama açma ancak gelecekte açık kullanıcı kararı ve ayrı güvenlik tasarımıyla eklenebilir.</w:t>
      </w:r>
    </w:p>
    <w:p>
      <w:pPr>
        <w:spacing w:after="60"/>
      </w:pPr>
      <w:r>
        <w:rPr>
          <w:b/>
        </w:rPr>
        <w:t xml:space="preserve">PR-164 — </w:t>
      </w:r>
      <w:r>
        <w:t>Log, cache, diagnostic, export, migration backup, crash/evidence ve diğer yan artifactlar kişisel veya hassas içerik taşımayacak şekilde sanitize edilmeli veya şifrelenmelidir; bu kapanış Bronze Final kapısıdır.</w:t>
      </w:r>
    </w:p>
    <w:p>
      <w:pPr>
        <w:spacing w:after="60"/>
      </w:pPr>
      <w:r>
        <w:rPr>
          <w:b/>
        </w:rPr>
        <w:t xml:space="preserve">PR-165 — </w:t>
      </w:r>
      <w:r>
        <w:t>Uygulama öncesi oluşturulan runtime/log dosyaları yalnız kişisel olmayan operasyon metadata içerir; kimlik doğrulama öncesi hiçbir kişisel veri log, cache veya diagnostic alana yazılamaz.</w:t>
      </w:r>
    </w:p>
    <w:p>
      <w:pPr>
        <w:spacing w:after="60"/>
      </w:pPr>
      <w:r>
        <w:rPr>
          <w:b/>
        </w:rPr>
        <w:t xml:space="preserve">PR-166 — </w:t>
      </w:r>
      <w:r>
        <w:t>Parola değiştirildiğinde kullanıcı veri kasasının anahtar sarma bilgisi de atomik olarak yeni parolaya geçirilir; eski parola kasayı açmaya devam edemez.</w:t>
      </w:r>
    </w:p>
    <w:p>
      <w:pPr>
        <w:spacing w:after="60"/>
      </w:pPr>
      <w:r>
        <w:rPr>
          <w:b/>
        </w:rPr>
        <w:t xml:space="preserve">PR-167 — </w:t>
      </w:r>
      <w:r>
        <w:t>Haricî kimlik sağlayıcıları için gerçek üretim PASS iddiası sağlayıcı uygulama kaydı, Client ID/redirect URI, gerçek Windows oturumu, token kasası, iptal/çıkış ve hata senaryoları doğrulanmadan yapılamaz; aksi durum NOT_RUN/PENDING olarak raporlanır.</w:t>
      </w:r>
    </w:p>
    <w:p>
      <w:pPr>
        <w:spacing w:after="60"/>
      </w:pPr>
      <w:r>
        <w:rPr>
          <w:b/>
        </w:rPr>
        <w:t xml:space="preserve">PR-168 — </w:t>
      </w:r>
      <w:r>
        <w:t>Kalıcı proje kütüphanesi hiyerarşisi /Panthera pardus tulliana/Anadolu Parsı Aile Yaşam Merkezi şeklindedir; bu uygulamaya ait yeni build, kaynak, belge, görsel, hash ve teslim kanıtları yalnız bu dal altında tutulur.</w:t>
      </w:r>
    </w:p>
    <w:p>
      <w:pPr>
        <w:spacing w:after="60"/>
      </w:pPr>
      <w:r>
        <w:rPr>
          <w:b/>
        </w:rPr>
        <w:t xml:space="preserve">PR-169 — </w:t>
      </w:r>
      <w:r>
        <w:t>Üst marka altındaki başka/eski proje dosyaları yalnız ad benzerliği nedeniyle Anadolu Parsı Aile Yaşam Merkezi klasörüne taşınamaz veya bağlam kaynağı sayılamaz; proje provenance sınırı fail-closed uygulanır.</w:t>
      </w:r>
    </w:p>
    <w:p>
      <w:pPr>
        <w:spacing w:after="60"/>
      </w:pPr>
      <w:r>
        <w:rPr>
          <w:b/>
        </w:rPr>
        <w:t xml:space="preserve">PR-170 — </w:t>
      </w:r>
      <w:r>
        <w:t>Build209 ve sonrasında onboarding, kimlik, veri kasası ve dosya erişimi güvenlik kapıları Anayasanın ayrılmaz parçasıdır; bu maddeler de diğer anayasa kuralları gibi yalnız açık kullanıcı kararı, yeni build, yeni sürüm ve yeni SHA-256 ile değiştirilebilir.</w:t>
      </w:r>
    </w:p>
    <w:p>
      <w:pPr>
        <w:spacing w:after="60"/>
      </w:pPr>
      <w:r>
        <w:rPr>
          <w:b/>
        </w:rPr>
        <w:t xml:space="preserve">PR-171 — </w:t>
      </w:r>
      <w:r>
        <w:t>Uzun veya zaman aşımı riski taşıyan geliştirme, doğrulama, belge üretimi, paketleme ve teslim işleri mümkün olan en küçük mantıksal ve bağımsız adımlara bölünmelidir. Her adım: 1. uygulanır, 2. doğrulanır, 3. sonucu kalıcı olarak kaydedilir, 4. kısa durum verilir, 5. ancak bundan sonra sonraki adıma geçilir. Tek seferde dev işlem zincirleri çalıştırma. Yalnız teknik olarak atomik olması zorunlu işlemler istisnadır. Bu kural anayasal ve aşılamazdır.</w:t>
      </w:r>
    </w:p>
    <w:p>
      <w:pPr>
        <w:pStyle w:val="Heading1"/>
      </w:pPr>
      <w:r>
        <w:t>5. Güncel devam noktası ve açık işler</w:t>
      </w:r>
    </w:p>
    <w:p>
      <w:r>
        <w:t>Sıradaki iş: OPEN-021 — Aktif oturumda sayfa-seviyesi kullanıcı verisi koruması. Planlanan Build: 213.</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7C4D20"/>
          </w:tcPr>
          <w:p>
            <w:r/>
            <w:r>
              <w:rPr>
                <w:rFonts w:ascii="Arial" w:hAnsi="Arial"/>
                <w:b/>
                <w:color w:val="FFFFFF"/>
                <w:sz w:val="16"/>
              </w:rPr>
              <w:t>ID</w:t>
            </w:r>
          </w:p>
        </w:tc>
        <w:tc>
          <w:tcPr>
            <w:tcW w:type="dxa" w:w="2074"/>
            <w:vAlign w:val="center"/>
            <w:shd w:fill="7C4D20"/>
          </w:tcPr>
          <w:p>
            <w:r/>
            <w:r>
              <w:rPr>
                <w:rFonts w:ascii="Arial" w:hAnsi="Arial"/>
                <w:b/>
                <w:color w:val="FFFFFF"/>
                <w:sz w:val="16"/>
              </w:rPr>
              <w:t>İş</w:t>
            </w:r>
          </w:p>
        </w:tc>
        <w:tc>
          <w:tcPr>
            <w:tcW w:type="dxa" w:w="2074"/>
            <w:vAlign w:val="center"/>
            <w:shd w:fill="7C4D20"/>
          </w:tcPr>
          <w:p>
            <w:r/>
            <w:r>
              <w:rPr>
                <w:rFonts w:ascii="Arial" w:hAnsi="Arial"/>
                <w:b/>
                <w:color w:val="FFFFFF"/>
                <w:sz w:val="16"/>
              </w:rPr>
              <w:t>Kanal</w:t>
            </w:r>
          </w:p>
        </w:tc>
        <w:tc>
          <w:tcPr>
            <w:tcW w:type="dxa" w:w="2074"/>
            <w:vAlign w:val="center"/>
            <w:shd w:fill="7C4D20"/>
          </w:tcPr>
          <w:p>
            <w:r/>
            <w:r>
              <w:rPr>
                <w:rFonts w:ascii="Arial" w:hAnsi="Arial"/>
                <w:b/>
                <w:color w:val="FFFFFF"/>
                <w:sz w:val="16"/>
              </w:rPr>
              <w:t>Planlanan Build</w:t>
            </w:r>
          </w:p>
        </w:tc>
        <w:tc>
          <w:tcPr>
            <w:tcW w:type="dxa" w:w="2074"/>
            <w:vAlign w:val="center"/>
            <w:shd w:fill="7C4D20"/>
          </w:tcPr>
          <w:p>
            <w:r/>
            <w:r>
              <w:rPr>
                <w:rFonts w:ascii="Arial" w:hAnsi="Arial"/>
                <w:b/>
                <w:color w:val="FFFFFF"/>
                <w:sz w:val="16"/>
              </w:rPr>
              <w:t>Durum</w:t>
            </w:r>
          </w:p>
        </w:tc>
      </w:tr>
      <w:tr>
        <w:tc>
          <w:tcPr>
            <w:tcW w:type="dxa" w:w="2074"/>
            <w:vAlign w:val="center"/>
          </w:tcPr>
          <w:p>
            <w:r/>
            <w:r>
              <w:rPr>
                <w:rFonts w:ascii="Arial" w:hAnsi="Arial"/>
                <w:b w:val="0"/>
                <w:sz w:val="15"/>
              </w:rPr>
              <w:t>OPEN-021</w:t>
            </w:r>
          </w:p>
        </w:tc>
        <w:tc>
          <w:tcPr>
            <w:tcW w:type="dxa" w:w="2074"/>
            <w:vAlign w:val="center"/>
          </w:tcPr>
          <w:p>
            <w:r/>
            <w:r>
              <w:rPr>
                <w:rFonts w:ascii="Arial" w:hAnsi="Arial"/>
                <w:b w:val="0"/>
                <w:sz w:val="15"/>
              </w:rPr>
              <w:t>Aktif oturumda sayfa-seviyesi kullanıcı verisi koruması</w:t>
            </w:r>
          </w:p>
        </w:tc>
        <w:tc>
          <w:tcPr>
            <w:tcW w:type="dxa" w:w="2074"/>
            <w:vAlign w:val="center"/>
          </w:tcPr>
          <w:p>
            <w:r/>
            <w:r>
              <w:rPr>
                <w:rFonts w:ascii="Arial" w:hAnsi="Arial"/>
                <w:b w:val="0"/>
                <w:sz w:val="15"/>
              </w:rPr>
              <w:t>Bronze</w:t>
            </w:r>
          </w:p>
        </w:tc>
        <w:tc>
          <w:tcPr>
            <w:tcW w:type="dxa" w:w="2074"/>
            <w:vAlign w:val="center"/>
          </w:tcPr>
          <w:p>
            <w:r/>
            <w:r>
              <w:rPr>
                <w:rFonts w:ascii="Arial" w:hAnsi="Arial"/>
                <w:b w:val="0"/>
                <w:sz w:val="15"/>
              </w:rPr>
              <w:t>213</w:t>
            </w:r>
          </w:p>
        </w:tc>
        <w:tc>
          <w:tcPr>
            <w:tcW w:type="dxa" w:w="2074"/>
            <w:vAlign w:val="center"/>
          </w:tcPr>
          <w:p>
            <w:r/>
            <w:r>
              <w:rPr>
                <w:rFonts w:ascii="Arial" w:hAnsi="Arial"/>
                <w:b w:val="0"/>
                <w:sz w:val="15"/>
              </w:rPr>
              <w:t>IN_PROGRESS</w:t>
            </w:r>
          </w:p>
        </w:tc>
      </w:tr>
      <w:tr>
        <w:tc>
          <w:tcPr>
            <w:tcW w:type="dxa" w:w="2074"/>
            <w:vAlign w:val="center"/>
          </w:tcPr>
          <w:p>
            <w:r/>
            <w:r>
              <w:rPr>
                <w:rFonts w:ascii="Arial" w:hAnsi="Arial"/>
                <w:b w:val="0"/>
                <w:sz w:val="15"/>
              </w:rPr>
              <w:t>OPEN-022</w:t>
            </w:r>
          </w:p>
        </w:tc>
        <w:tc>
          <w:tcPr>
            <w:tcW w:type="dxa" w:w="2074"/>
            <w:vAlign w:val="center"/>
          </w:tcPr>
          <w:p>
            <w:r/>
            <w:r>
              <w:rPr>
                <w:rFonts w:ascii="Arial" w:hAnsi="Arial"/>
                <w:b w:val="0"/>
                <w:sz w:val="15"/>
              </w:rPr>
              <w:t>Hassas yan-artifact şifreleme ve sanitizasyon kapanışı</w:t>
            </w:r>
          </w:p>
        </w:tc>
        <w:tc>
          <w:tcPr>
            <w:tcW w:type="dxa" w:w="2074"/>
            <w:vAlign w:val="center"/>
          </w:tcPr>
          <w:p>
            <w:r/>
            <w:r>
              <w:rPr>
                <w:rFonts w:ascii="Arial" w:hAnsi="Arial"/>
                <w:b w:val="0"/>
                <w:sz w:val="15"/>
              </w:rPr>
              <w:t>Bronze</w:t>
            </w:r>
          </w:p>
        </w:tc>
        <w:tc>
          <w:tcPr>
            <w:tcW w:type="dxa" w:w="2074"/>
            <w:vAlign w:val="center"/>
          </w:tcPr>
          <w:p>
            <w:r/>
            <w:r>
              <w:rPr>
                <w:rFonts w:ascii="Arial" w:hAnsi="Arial"/>
                <w:b w:val="0"/>
                <w:sz w:val="15"/>
              </w:rPr>
              <w:t>214</w:t>
            </w:r>
          </w:p>
        </w:tc>
        <w:tc>
          <w:tcPr>
            <w:tcW w:type="dxa" w:w="2074"/>
            <w:vAlign w:val="center"/>
          </w:tcPr>
          <w:p>
            <w:r/>
            <w:r>
              <w:rPr>
                <w:rFonts w:ascii="Arial" w:hAnsi="Arial"/>
                <w:b w:val="0"/>
                <w:sz w:val="15"/>
              </w:rPr>
              <w:t>IN_PROGRESS</w:t>
            </w:r>
          </w:p>
        </w:tc>
      </w:tr>
      <w:tr>
        <w:tc>
          <w:tcPr>
            <w:tcW w:type="dxa" w:w="2074"/>
            <w:vAlign w:val="center"/>
          </w:tcPr>
          <w:p>
            <w:r/>
            <w:r>
              <w:rPr>
                <w:rFonts w:ascii="Arial" w:hAnsi="Arial"/>
                <w:b w:val="0"/>
                <w:sz w:val="15"/>
              </w:rPr>
              <w:t>OPEN-002</w:t>
            </w:r>
          </w:p>
        </w:tc>
        <w:tc>
          <w:tcPr>
            <w:tcW w:type="dxa" w:w="2074"/>
            <w:vAlign w:val="center"/>
          </w:tcPr>
          <w:p>
            <w:r/>
            <w:r>
              <w:rPr>
                <w:rFonts w:ascii="Arial" w:hAnsi="Arial"/>
                <w:b w:val="0"/>
                <w:sz w:val="15"/>
              </w:rPr>
              <w:t>Temiz ve tekrarlanabilir bağımlılık kurulumu</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None</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OPEN-003</w:t>
            </w:r>
          </w:p>
        </w:tc>
        <w:tc>
          <w:tcPr>
            <w:tcW w:type="dxa" w:w="2074"/>
            <w:vAlign w:val="center"/>
          </w:tcPr>
          <w:p>
            <w:r/>
            <w:r>
              <w:rPr>
                <w:rFonts w:ascii="Arial" w:hAnsi="Arial"/>
                <w:b w:val="0"/>
                <w:sz w:val="15"/>
              </w:rPr>
              <w:t>Tam TypeScript doğrulaması</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OPEN-004</w:t>
            </w:r>
          </w:p>
        </w:tc>
        <w:tc>
          <w:tcPr>
            <w:tcW w:type="dxa" w:w="2074"/>
            <w:vAlign w:val="center"/>
          </w:tcPr>
          <w:p>
            <w:r/>
            <w:r>
              <w:rPr>
                <w:rFonts w:ascii="Arial" w:hAnsi="Arial"/>
                <w:b w:val="0"/>
                <w:sz w:val="15"/>
              </w:rPr>
              <w:t>Tam birim ve entegrasyon test zinciri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OPEN-005</w:t>
            </w:r>
          </w:p>
        </w:tc>
        <w:tc>
          <w:tcPr>
            <w:tcW w:type="dxa" w:w="2074"/>
            <w:vAlign w:val="center"/>
          </w:tcPr>
          <w:p>
            <w:r/>
            <w:r>
              <w:rPr>
                <w:rFonts w:ascii="Arial" w:hAnsi="Arial"/>
                <w:b w:val="0"/>
                <w:sz w:val="15"/>
              </w:rPr>
              <w:t>Electron production build</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OPEN-006</w:t>
            </w:r>
          </w:p>
        </w:tc>
        <w:tc>
          <w:tcPr>
            <w:tcW w:type="dxa" w:w="2074"/>
            <w:vAlign w:val="center"/>
          </w:tcPr>
          <w:p>
            <w:r/>
            <w:r>
              <w:rPr>
                <w:rFonts w:ascii="Arial" w:hAnsi="Arial"/>
                <w:b w:val="0"/>
                <w:sz w:val="15"/>
              </w:rPr>
              <w:t>Blocking smoke zinciri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OPEN-007</w:t>
            </w:r>
          </w:p>
        </w:tc>
        <w:tc>
          <w:tcPr>
            <w:tcW w:type="dxa" w:w="2074"/>
            <w:vAlign w:val="center"/>
          </w:tcPr>
          <w:p>
            <w:r/>
            <w:r>
              <w:rPr>
                <w:rFonts w:ascii="Arial" w:hAnsi="Arial"/>
                <w:b w:val="0"/>
                <w:sz w:val="15"/>
              </w:rPr>
              <w:t>Gerçek Windows açılış ve güvenlik migration testleri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OPEN-008</w:t>
            </w:r>
          </w:p>
        </w:tc>
        <w:tc>
          <w:tcPr>
            <w:tcW w:type="dxa" w:w="2074"/>
            <w:vAlign w:val="center"/>
          </w:tcPr>
          <w:p>
            <w:r/>
            <w:r>
              <w:rPr>
                <w:rFonts w:ascii="Arial" w:hAnsi="Arial"/>
                <w:b w:val="0"/>
                <w:sz w:val="15"/>
              </w:rPr>
              <w:t>Windows installer yaşam döngüsü</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OPEN-009</w:t>
            </w:r>
          </w:p>
        </w:tc>
        <w:tc>
          <w:tcPr>
            <w:tcW w:type="dxa" w:w="2074"/>
            <w:vAlign w:val="center"/>
          </w:tcPr>
          <w:p>
            <w:r/>
            <w:r>
              <w:rPr>
                <w:rFonts w:ascii="Arial" w:hAnsi="Arial"/>
                <w:b w:val="0"/>
                <w:sz w:val="15"/>
              </w:rPr>
              <w:t>Farklı cihaz yedek geri yükleme ve anahtar yeniden sarma</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OPEN-010</w:t>
            </w:r>
          </w:p>
        </w:tc>
        <w:tc>
          <w:tcPr>
            <w:tcW w:type="dxa" w:w="2074"/>
            <w:vAlign w:val="center"/>
          </w:tcPr>
          <w:p>
            <w:r/>
            <w:r>
              <w:rPr>
                <w:rFonts w:ascii="Arial" w:hAnsi="Arial"/>
                <w:b w:val="0"/>
                <w:sz w:val="15"/>
              </w:rPr>
              <w:t>Felaket kurtarma ve dayanıklılık provası</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OPEN-011</w:t>
            </w:r>
          </w:p>
        </w:tc>
        <w:tc>
          <w:tcPr>
            <w:tcW w:type="dxa" w:w="2074"/>
            <w:vAlign w:val="center"/>
          </w:tcPr>
          <w:p>
            <w:r/>
            <w:r>
              <w:rPr>
                <w:rFonts w:ascii="Arial" w:hAnsi="Arial"/>
                <w:b w:val="0"/>
                <w:sz w:val="15"/>
              </w:rPr>
              <w:t>Erişilebilirlik ve kullanıcı kabul testleri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OPEN-012</w:t>
            </w:r>
          </w:p>
        </w:tc>
        <w:tc>
          <w:tcPr>
            <w:tcW w:type="dxa" w:w="2074"/>
            <w:vAlign w:val="center"/>
          </w:tcPr>
          <w:p>
            <w:r/>
            <w:r>
              <w:rPr>
                <w:rFonts w:ascii="Arial" w:hAnsi="Arial"/>
                <w:b w:val="0"/>
                <w:sz w:val="15"/>
              </w:rPr>
              <w:t>Performans ve uzun süreli kararlılık</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OPEN-013</w:t>
            </w:r>
          </w:p>
        </w:tc>
        <w:tc>
          <w:tcPr>
            <w:tcW w:type="dxa" w:w="2074"/>
            <w:vAlign w:val="center"/>
          </w:tcPr>
          <w:p>
            <w:r/>
            <w:r>
              <w:rPr>
                <w:rFonts w:ascii="Arial" w:hAnsi="Arial"/>
                <w:b w:val="0"/>
                <w:sz w:val="15"/>
              </w:rPr>
              <w:t>Saklama ve imha hukuk/gizlilik incelemesi</w:t>
            </w:r>
          </w:p>
        </w:tc>
        <w:tc>
          <w:tcPr>
            <w:tcW w:type="dxa" w:w="2074"/>
            <w:vAlign w:val="center"/>
          </w:tcPr>
          <w:p>
            <w:r/>
            <w:r>
              <w:rPr>
                <w:rFonts w:ascii="Arial" w:hAnsi="Arial"/>
                <w:b w:val="0"/>
                <w:sz w:val="15"/>
              </w:rPr>
              <w:t>Legal/privacy</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OPEN-014</w:t>
            </w:r>
          </w:p>
        </w:tc>
        <w:tc>
          <w:tcPr>
            <w:tcW w:type="dxa" w:w="2074"/>
            <w:vAlign w:val="center"/>
          </w:tcPr>
          <w:p>
            <w:r/>
            <w:r>
              <w:rPr>
                <w:rFonts w:ascii="Arial" w:hAnsi="Arial"/>
                <w:b w:val="0"/>
                <w:sz w:val="15"/>
              </w:rPr>
              <w:t>NTFS, SSD ve adli kalıntı sınırlarının doğrulanması</w:t>
            </w:r>
          </w:p>
        </w:tc>
        <w:tc>
          <w:tcPr>
            <w:tcW w:type="dxa" w:w="2074"/>
            <w:vAlign w:val="center"/>
          </w:tcPr>
          <w:p>
            <w:r/>
            <w:r>
              <w:rPr>
                <w:rFonts w:ascii="Arial" w:hAnsi="Arial"/>
                <w:b w:val="0"/>
                <w:sz w:val="15"/>
              </w:rPr>
              <w:t>Security/forensics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OPEN-015</w:t>
            </w:r>
          </w:p>
        </w:tc>
        <w:tc>
          <w:tcPr>
            <w:tcW w:type="dxa" w:w="2074"/>
            <w:vAlign w:val="center"/>
          </w:tcPr>
          <w:p>
            <w:r/>
            <w:r>
              <w:rPr>
                <w:rFonts w:ascii="Arial" w:hAnsi="Arial"/>
                <w:b w:val="0"/>
                <w:sz w:val="15"/>
              </w:rPr>
              <w:t>Gerçek aile verisi aktarım planı</w:t>
            </w:r>
          </w:p>
        </w:tc>
        <w:tc>
          <w:tcPr>
            <w:tcW w:type="dxa" w:w="2074"/>
            <w:vAlign w:val="center"/>
          </w:tcPr>
          <w:p>
            <w:r/>
            <w:r>
              <w:rPr>
                <w:rFonts w:ascii="Arial" w:hAnsi="Arial"/>
                <w:b w:val="0"/>
                <w:sz w:val="15"/>
              </w:rPr>
              <w:t>Data readiness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OPEN-016</w:t>
            </w:r>
          </w:p>
        </w:tc>
        <w:tc>
          <w:tcPr>
            <w:tcW w:type="dxa" w:w="2074"/>
            <w:vAlign w:val="center"/>
          </w:tcPr>
          <w:p>
            <w:r/>
            <w:r>
              <w:rPr>
                <w:rFonts w:ascii="Arial" w:hAnsi="Arial"/>
                <w:b w:val="0"/>
                <w:sz w:val="15"/>
              </w:rPr>
              <w:t>AI sağlayıcısı, maliyet ve mahremiyet sınırı</w:t>
            </w:r>
          </w:p>
        </w:tc>
        <w:tc>
          <w:tcPr>
            <w:tcW w:type="dxa" w:w="2074"/>
            <w:vAlign w:val="center"/>
          </w:tcPr>
          <w:p>
            <w:r/>
            <w:r>
              <w:rPr>
                <w:rFonts w:ascii="Arial" w:hAnsi="Arial"/>
                <w:b w:val="0"/>
                <w:sz w:val="15"/>
              </w:rPr>
              <w:t>AI governance</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OPEN-017</w:t>
            </w:r>
          </w:p>
        </w:tc>
        <w:tc>
          <w:tcPr>
            <w:tcW w:type="dxa" w:w="2074"/>
            <w:vAlign w:val="center"/>
          </w:tcPr>
          <w:p>
            <w:r/>
            <w:r>
              <w:rPr>
                <w:rFonts w:ascii="Arial" w:hAnsi="Arial"/>
                <w:b w:val="0"/>
                <w:sz w:val="15"/>
              </w:rPr>
              <w:t>Bulut ve haricî sağlayıcı üretim adaptörleri</w:t>
            </w:r>
          </w:p>
        </w:tc>
        <w:tc>
          <w:tcPr>
            <w:tcW w:type="dxa" w:w="2074"/>
            <w:vAlign w:val="center"/>
          </w:tcPr>
          <w:p>
            <w:r/>
            <w:r>
              <w:rPr>
                <w:rFonts w:ascii="Arial" w:hAnsi="Arial"/>
                <w:b w:val="0"/>
                <w:sz w:val="15"/>
              </w:rPr>
              <w:t>External integration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OPEN-018</w:t>
            </w:r>
          </w:p>
        </w:tc>
        <w:tc>
          <w:tcPr>
            <w:tcW w:type="dxa" w:w="2074"/>
            <w:vAlign w:val="center"/>
          </w:tcPr>
          <w:p>
            <w:r/>
            <w:r>
              <w:rPr>
                <w:rFonts w:ascii="Arial" w:hAnsi="Arial"/>
                <w:b w:val="0"/>
                <w:sz w:val="15"/>
              </w:rPr>
              <w:t>Haricî OIDC kimlik sağlayıcıları</w:t>
            </w:r>
          </w:p>
        </w:tc>
        <w:tc>
          <w:tcPr>
            <w:tcW w:type="dxa" w:w="2074"/>
            <w:vAlign w:val="center"/>
          </w:tcPr>
          <w:p>
            <w:r/>
            <w:r>
              <w:rPr>
                <w:rFonts w:ascii="Arial" w:hAnsi="Arial"/>
                <w:b w:val="0"/>
                <w:sz w:val="15"/>
              </w:rPr>
              <w:t>Identity integration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OPEN-019</w:t>
            </w:r>
          </w:p>
        </w:tc>
        <w:tc>
          <w:tcPr>
            <w:tcW w:type="dxa" w:w="2074"/>
            <w:vAlign w:val="center"/>
          </w:tcPr>
          <w:p>
            <w:r/>
            <w:r>
              <w:rPr>
                <w:rFonts w:ascii="Arial" w:hAnsi="Arial"/>
                <w:b w:val="0"/>
                <w:sz w:val="15"/>
              </w:rPr>
              <w:t>Apple ekosistemi istemcileri</w:t>
            </w:r>
          </w:p>
        </w:tc>
        <w:tc>
          <w:tcPr>
            <w:tcW w:type="dxa" w:w="2074"/>
            <w:vAlign w:val="center"/>
          </w:tcPr>
          <w:p>
            <w:r/>
            <w:r>
              <w:rPr>
                <w:rFonts w:ascii="Arial" w:hAnsi="Arial"/>
                <w:b w:val="0"/>
                <w:sz w:val="15"/>
              </w:rPr>
              <w:t>Future platforms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OPEN-020</w:t>
            </w:r>
          </w:p>
        </w:tc>
        <w:tc>
          <w:tcPr>
            <w:tcW w:type="dxa" w:w="2074"/>
            <w:vAlign w:val="center"/>
          </w:tcPr>
          <w:p>
            <w:r/>
            <w:r>
              <w:rPr>
                <w:rFonts w:ascii="Arial" w:hAnsi="Arial"/>
                <w:b w:val="0"/>
                <w:sz w:val="15"/>
              </w:rPr>
              <w:t>İmzalı üretim ve operasyon paketi</w:t>
            </w:r>
          </w:p>
        </w:tc>
        <w:tc>
          <w:tcPr>
            <w:tcW w:type="dxa" w:w="2074"/>
            <w:vAlign w:val="center"/>
          </w:tcPr>
          <w:p>
            <w:r/>
            <w:r>
              <w:rPr>
                <w:rFonts w:ascii="Arial" w:hAnsi="Arial"/>
                <w:b w:val="0"/>
                <w:sz w:val="15"/>
              </w:rPr>
              <w:t>Gold</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bl>
    <w:p>
      <w:pPr>
        <w:pStyle w:val="Heading1"/>
      </w:pPr>
      <w:r>
        <w:t>6. Build kapanış ve doğrulama yönetişimi</w:t>
      </w:r>
    </w:p>
    <w:p>
      <w:pPr>
        <w:pStyle w:val="ListBullet"/>
      </w:pPr>
      <w:r>
        <w:t>Project Provenance Gate</w:t>
      </w:r>
    </w:p>
    <w:p>
      <w:pPr>
        <w:pStyle w:val="ListBullet"/>
      </w:pPr>
      <w:r>
        <w:t>Version Sweep Gate</w:t>
      </w:r>
    </w:p>
    <w:p>
      <w:pPr>
        <w:pStyle w:val="ListBullet"/>
      </w:pPr>
      <w:r>
        <w:t>Personal Identity Sweep Gate</w:t>
      </w:r>
    </w:p>
    <w:p>
      <w:pPr>
        <w:pStyle w:val="ListBullet"/>
      </w:pPr>
      <w:r>
        <w:t>Production Clean Data Gate</w:t>
      </w:r>
    </w:p>
    <w:p>
      <w:pPr>
        <w:pStyle w:val="ListBullet"/>
      </w:pPr>
      <w:r>
        <w:t>Artifact Index Gate</w:t>
      </w:r>
    </w:p>
    <w:p>
      <w:pPr>
        <w:pStyle w:val="ListBullet"/>
      </w:pPr>
      <w:r>
        <w:t>Documentation Closure Gate</w:t>
      </w:r>
    </w:p>
    <w:p>
      <w:pPr>
        <w:pStyle w:val="ListBullet"/>
      </w:pPr>
      <w:r>
        <w:t>Project Progress Report Gate</w:t>
      </w:r>
    </w:p>
    <w:p>
      <w:pPr>
        <w:pStyle w:val="ListBullet"/>
      </w:pPr>
      <w:r>
        <w:t>Ana Build Defteri ve kural SHA-256 kabul kapısı</w:t>
      </w:r>
    </w:p>
    <w:p>
      <w:pPr>
        <w:pStyle w:val="ListBullet"/>
      </w:pPr>
      <w:r>
        <w:t>Sohbet bağlam kapasitesi / %90 hard-stop kapısı</w:t>
      </w:r>
    </w:p>
    <w:p>
      <w:r>
        <w:t>Clean npm ci, tam root TypeScript, tüm testler, Electron production build, blocking smoke ve gerçek Windows installer yalnız gerçekten çalıştırıldığında PASS olabilir.</w:t>
      </w:r>
    </w:p>
    <w:p>
      <w:pPr>
        <w:pStyle w:val="Heading1"/>
      </w:pPr>
      <w:r>
        <w:t>7. Proje ilerleme modeli</w:t>
      </w:r>
    </w:p>
    <w:p>
      <w:r>
        <w:t>Kodlama tamamlanma: %96.8</w:t>
      </w:r>
    </w:p>
    <w:p>
      <w:r>
        <w:t>Kalan kodlama: %3.2</w:t>
      </w:r>
    </w:p>
    <w:p>
      <w:r>
        <w:t>Geçen süre: 13 gün</w:t>
      </w:r>
    </w:p>
    <w:p>
      <w:r>
        <w:t>Tarihsel build hızı: 16.92 build/gün</w:t>
      </w:r>
    </w:p>
    <w:p>
      <w:r>
        <w:t>Tahmini Bronze Final: 2026-08-07</w:t>
      </w:r>
    </w:p>
    <w:p>
      <w:r>
        <w:t>Tahmini Silver: 2026-08-16</w:t>
      </w:r>
    </w:p>
    <w:p>
      <w:r>
        <w:t>Tahmini Gold/genel bitiş: 2026-08-20</w:t>
      </w:r>
    </w:p>
    <w:p>
      <w:r>
        <w:t>Güven: Orta</w:t>
      </w:r>
    </w:p>
    <w:p>
      <w:pPr>
        <w:pStyle w:val="Heading1"/>
      </w:pPr>
      <w:r>
        <w:t>8. Yetkili aktif belgeler</w:t>
      </w:r>
    </w:p>
    <w:p>
      <w:pPr>
        <w:pStyle w:val="ListBullet"/>
      </w:pPr>
      <w:r>
        <w:t>docs/10_MASTER_DECISION_REGISTER.md — Tüm kararların önceliği ve ana kaydı</w:t>
      </w:r>
    </w:p>
    <w:p>
      <w:pPr>
        <w:pStyle w:val="ListBullet"/>
      </w:pPr>
      <w:r>
        <w:t>docs/00_SCOPE_FREEZE.md — Ürün sınırı, kullanıcılar, modüller ve kapsam dışı alanlar</w:t>
      </w:r>
    </w:p>
    <w:p>
      <w:pPr>
        <w:pStyle w:val="ListBullet"/>
      </w:pPr>
      <w:r>
        <w:t>docs/01_TECHNICAL_STACK.md — Platform, teknoloji ve katman seçimi</w:t>
      </w:r>
    </w:p>
    <w:p>
      <w:pPr>
        <w:pStyle w:val="ListBullet"/>
      </w:pPr>
      <w:r>
        <w:t>docs/02_SECURITY_BASELINE.md — Kimlik, yetki, Electron, AI ve veri güvenliği</w:t>
      </w:r>
    </w:p>
    <w:p>
      <w:pPr>
        <w:pStyle w:val="ListBullet"/>
      </w:pPr>
      <w:r>
        <w:t>docs/03_TEST_AND_ACCEPTANCE.md — Test katmanları ve kabul kapıları</w:t>
      </w:r>
    </w:p>
    <w:p>
      <w:pPr>
        <w:pStyle w:val="ListBullet"/>
      </w:pPr>
      <w:r>
        <w:t>docs/04_RELEASE_PLAN.md — Bronze/Silver/Gold ve promotion kuralları</w:t>
      </w:r>
    </w:p>
    <w:p>
      <w:pPr>
        <w:pStyle w:val="ListBullet"/>
      </w:pPr>
      <w:r>
        <w:t>docs/05_DEFINITION_OF_DONE.md — İş ve build tamamlanma ölçütü</w:t>
      </w:r>
    </w:p>
    <w:p>
      <w:pPr>
        <w:pStyle w:val="ListBullet"/>
      </w:pPr>
      <w:r>
        <w:t>docs/06_OPEN_ITEMS_AFTER_CODING_START.md — Açık, ertelenmiş ve dış bağımlı maddeler</w:t>
      </w:r>
    </w:p>
    <w:p>
      <w:pPr>
        <w:pStyle w:val="ListBullet"/>
      </w:pPr>
      <w:r>
        <w:t>docs/07_BRONZE_REQUIREMENTS_TRACEABILITY.md — Gereksinim → kod → kanıt eşleştirmesi</w:t>
      </w:r>
    </w:p>
    <w:p>
      <w:pPr>
        <w:pStyle w:val="ListBullet"/>
      </w:pPr>
      <w:r>
        <w:t>docs/09_ACTIVE_DEVELOPMENT_STATUS.md — Güncel kanal ve build davranışı</w:t>
      </w:r>
    </w:p>
    <w:p>
      <w:pPr>
        <w:pStyle w:val="ListBullet"/>
      </w:pPr>
      <w:r>
        <w:t>docs/12_PRODUCT_SCOPE_AND_MODULE_CATALOG.md — 16 modül ve fonksiyon sınırları</w:t>
      </w:r>
    </w:p>
    <w:p>
      <w:pPr>
        <w:pStyle w:val="ListBullet"/>
      </w:pPr>
      <w:r>
        <w:t>docs/13_UI_UX_ACCESSIBILITY_STANDARD.md — Görsel dil, tipografi ve erişilebilirlik</w:t>
      </w:r>
    </w:p>
    <w:p>
      <w:pPr>
        <w:pStyle w:val="ListBullet"/>
      </w:pPr>
      <w:r>
        <w:t>docs/14_SECURITY_PRIVACY_BACKUP_STANDARD.md — Güvenlik, mahremiyet, yedek ve kurtarma</w:t>
      </w:r>
    </w:p>
    <w:p>
      <w:pPr>
        <w:pStyle w:val="ListBullet"/>
      </w:pPr>
      <w:r>
        <w:t>docs/15_RELEASE_VALIDATION_GOVERNANCE.md — PASS/FAIL/NOT_RUN ve kapı sırası</w:t>
      </w:r>
    </w:p>
    <w:p>
      <w:pPr>
        <w:pStyle w:val="ListBullet"/>
      </w:pPr>
      <w:r>
        <w:t>docs/16_STRICT_PRODUCT_LIFECYCLE_POLICY.md / config/product-lifecycle-policy.json — Katı Bronze/Silver/Gold ve ağır API erteleme kuralları</w:t>
      </w:r>
    </w:p>
    <w:p>
      <w:pPr>
        <w:pStyle w:val="ListBullet"/>
      </w:pPr>
      <w:r>
        <w:t>docs/FAMILY_DATA_IMPORT_V1.md / docs/adr/ADR-029-validated-family-data-import-and-controlled-rollback.md — Aile verisi içe aktarma şeması, atomiklik ve geri alma sınırı</w:t>
      </w:r>
    </w:p>
    <w:p>
      <w:pPr>
        <w:pStyle w:val="ListBullet"/>
      </w:pPr>
      <w:r>
        <w:t>docs/LARGE_FAMILY_READ_MODEL_PERFORMANCE_V1.md / docs/adr/ADR-030-keyset-pagination-and-bounded-rendering.md — Büyük soy ağacı, zaman tüneli ve arşiv okuma performansı</w:t>
      </w:r>
    </w:p>
    <w:p>
      <w:pPr>
        <w:pStyle w:val="ListBullet"/>
      </w:pPr>
      <w:r>
        <w:t>SECURITY.md — Güvenlik bildirim özeti</w:t>
      </w:r>
    </w:p>
    <w:p>
      <w:pPr>
        <w:pStyle w:val="ListBullet"/>
      </w:pPr>
      <w:r>
        <w:t>CONTRIBUTING.md — Değişiklik kuralları</w:t>
      </w:r>
    </w:p>
    <w:p>
      <w:pPr>
        <w:pStyle w:val="ListBullet"/>
      </w:pPr>
      <w:r>
        <w:t>BUILD_STATUS.md — Güncel build ve gerçek doğrulama durumu</w:t>
      </w:r>
    </w:p>
    <w:p>
      <w:pPr>
        <w:pStyle w:val="ListBullet"/>
      </w:pPr>
      <w:r>
        <w:t>docs/17_MASTER_BUILD_LEDGER.md / config/master-build-ledger.json — Build 1’den güncel builde kadar yapılanlar, kalan işler ve tek devam noktası</w:t>
      </w:r>
    </w:p>
    <w:p>
      <w:pPr>
        <w:pStyle w:val="ListBullet"/>
      </w:pPr>
      <w:r>
        <w:t>docs/EXTERNAL_EVIDENCE_ROOT_TRUST_VERIFICATION_V1.md / docs/adr/ADR-055-out-of-band-dual-evidence-root-trust-verification.md — Haricî kanıt sağlayıcısı kök anahtarının kurum dışı çift kanıtla doğrulanması</w:t>
      </w:r>
    </w:p>
    <w:p>
      <w:pPr>
        <w:pStyle w:val="ListBullet"/>
      </w:pPr>
      <w:r>
        <w:t>docs/CLEAN_BACKUP_REWRITE_TRIGGER_AWARE_BACKOFF_V1.md / docs/adr/ADR-064-trigger-aware-clean-backup-rewrite-backoff.md — Tetikleyiciye duyarlı temiz-yedek geri çekilme ve SQLite retry bütünlüğü</w:t>
      </w:r>
    </w:p>
    <w:p>
      <w:pPr>
        <w:pStyle w:val="ListBullet"/>
      </w:pPr>
      <w:r>
        <w:t>docs/adr/ADR-054-protected-periodic-revocation-sync-state.md — DEC-071, korumalı periyodik iptal listesi eşitlemesi ve süre uyarıları</w:t>
      </w:r>
    </w:p>
    <w:p>
      <w:pPr>
        <w:pStyle w:val="ListBullet"/>
      </w:pPr>
      <w:r>
        <w:t>docs/adr/ADR-056-automatic-clean-backup-rewrite-and-quarantine.md — DEC-073, otomatik temiz yedek yeniden yazımı, geri çekilme ve karantina</w:t>
      </w:r>
    </w:p>
    <w:p>
      <w:pPr>
        <w:pStyle w:val="ListBullet"/>
      </w:pPr>
      <w:r>
        <w:t>docs/adr/ADR-057-atomic-clean-backup-rewrite-finalization-ledger.md — DEC-074, atomik sonuçlandırma ve kalıcı çalışma defteri</w:t>
      </w:r>
    </w:p>
    <w:p>
      <w:pPr>
        <w:pStyle w:val="ListBullet"/>
      </w:pPr>
      <w:r>
        <w:t>docs/adr/ADR-058-monotonic-managed-backup-propagation-chronology.md — DEC-075, monotonik yedek yayılım kronolojisi</w:t>
      </w:r>
    </w:p>
    <w:p>
      <w:pPr>
        <w:pStyle w:val="ListBullet"/>
      </w:pPr>
      <w:r>
        <w:t>docs/CLEAN_BACKUP_REWRITE_LINKED_CHRONOLOGY_V1.md — Bağlı temiz-yedek/propagation kronoloji sözleşmesi</w:t>
      </w:r>
    </w:p>
    <w:p>
      <w:pPr>
        <w:pStyle w:val="ListBullet"/>
      </w:pPr>
      <w:r>
        <w:t>docs/adr/ADR-059-linked-clean-backup-rewrite-chronology.md — Bağlı kronoloji mimari kararı</w:t>
      </w:r>
    </w:p>
    <w:p>
      <w:pPr>
        <w:pStyle w:val="ListBullet"/>
      </w:pPr>
      <w:r>
        <w:t>DEC-077 — Kesinti kurtarma güvenli zaman ve geri çekilme sırası</w:t>
      </w:r>
    </w:p>
    <w:p>
      <w:pPr>
        <w:pStyle w:val="ListBullet"/>
      </w:pPr>
      <w:r>
        <w:t>docs/adr/ADR-060-restart-safe-clean-backup-rewrite-recovery.md — Mimari gerekçe ve repository sınırı</w:t>
      </w:r>
    </w:p>
    <w:p>
      <w:pPr>
        <w:pStyle w:val="ListBullet"/>
      </w:pPr>
      <w:r>
        <w:t>docs/CLEAN_BACKUP_REWRITE_RECOVERY_CHRONOLOGY_V1.md — Uygulama/SQLite kurtarma sözleşmesi</w:t>
      </w:r>
    </w:p>
    <w:p>
      <w:pPr>
        <w:pStyle w:val="ListBullet"/>
      </w:pPr>
      <w:r>
        <w:t>DEC-078 — Yeni temiz-yedek çalışmasının geri alma güvenli sahiplenme zamanı</w:t>
      </w:r>
    </w:p>
    <w:p>
      <w:pPr>
        <w:pStyle w:val="ListBullet"/>
      </w:pPr>
      <w:r>
        <w:t>docs/adr/ADR-061-rollback-safe-clean-backup-rewrite-claim.md — Uygulama, repository ve SQLite sahiplenme sınırı</w:t>
      </w:r>
    </w:p>
    <w:p>
      <w:pPr>
        <w:pStyle w:val="ListBullet"/>
      </w:pPr>
      <w:r>
        <w:t>docs/CLEAN_BACKUP_REWRITE_CLAIM_CHRONOLOGY_V1.md — Güvenli claim, saklama kesimi ve kullanıcı tanısı sözleşmesi</w:t>
      </w:r>
    </w:p>
    <w:p>
      <w:pPr>
        <w:pStyle w:val="ListBullet"/>
      </w:pPr>
      <w:r>
        <w:t>DEC-079 — Aktif politika izolasyonu ve terminal durum bütünlüğü</w:t>
      </w:r>
    </w:p>
    <w:p>
      <w:pPr>
        <w:pStyle w:val="ListBullet"/>
      </w:pPr>
      <w:r>
        <w:t>docs/adr/ADR-062-clean-backup-rewrite-operational-isolation.md — Uygulama, repository ve SQLite operasyonel sınırı</w:t>
      </w:r>
    </w:p>
    <w:p>
      <w:pPr>
        <w:pStyle w:val="ListBullet"/>
      </w:pPr>
      <w:r>
        <w:t>docs/CLEAN_BACKUP_REWRITE_OPERATIONAL_ISOLATION_V1.md — Ayar kilidi, ledger-floor kurtarma ve terminal eşleme</w:t>
      </w:r>
    </w:p>
    <w:p>
      <w:pPr>
        <w:pStyle w:val="ListBullet"/>
      </w:pPr>
      <w:r>
        <w:t>DEC-080 — Yayılımsız temiz-yedek terminal ve retry zamanı</w:t>
      </w:r>
    </w:p>
    <w:p>
      <w:pPr>
        <w:pStyle w:val="ListBullet"/>
      </w:pPr>
      <w:r>
        <w:t>docs/adr/ADR-063-monotonic-clean-backup-rewrite-terminal-chronology.md — Monotonik saat mimarisi ve fail-closed sınırı</w:t>
      </w:r>
    </w:p>
    <w:p>
      <w:pPr>
        <w:pStyle w:val="ListBullet"/>
      </w:pPr>
      <w:r>
        <w:t>docs/CLEAN_BACKUP_REWRITE_TERMINAL_CHRONOLOGY_V1.md — Uygulama ve test sözleşmesi</w:t>
      </w:r>
    </w:p>
    <w:p>
      <w:pPr>
        <w:pStyle w:val="ListBullet"/>
      </w:pPr>
      <w:r>
        <w:t>DEC-082 — Otomatik politika kapalıyken manuel temiz-yedek kullanılabilirliği</w:t>
      </w:r>
    </w:p>
    <w:p>
      <w:pPr>
        <w:pStyle w:val="ListBullet"/>
      </w:pPr>
      <w:r>
        <w:t>docs/adr/ADR-065-manual-clean-backup-rewrite-availability.md — Servis, repository ve SQLite sahiplenme ayrımı</w:t>
      </w:r>
    </w:p>
    <w:p>
      <w:pPr>
        <w:pStyle w:val="ListBullet"/>
      </w:pPr>
      <w:r>
        <w:t>docs/CLEAN_BACKUP_REWRITE_MANUAL_AVAILABILITY_V1.md — Manuel/otomatik etkinlik ve güvenlik sözleşmesi</w:t>
      </w:r>
    </w:p>
    <w:p>
      <w:pPr>
        <w:pStyle w:val="ListBullet"/>
      </w:pPr>
      <w:r>
        <w:t>docs/CLEAN_BACKUP_REWRITE_RUNNING_LEDGER_IDENTITY_V1.md / docs/adr/ADR-066-running-clean-backup-ledger-owner-identity.md — Çalışan temiz-yedek defteri policy-owner kimliği ve SQLite fail-closed koruması</w:t>
      </w:r>
    </w:p>
    <w:p>
      <w:pPr>
        <w:pStyle w:val="ListBullet"/>
      </w:pPr>
      <w:r>
        <w:t>DEC-085 — Aktif temiz-yedek sahiplik anlık görüntüsü</w:t>
      </w:r>
    </w:p>
    <w:p>
      <w:pPr>
        <w:pStyle w:val="ListBullet"/>
      </w:pPr>
      <w:r>
        <w:t>docs/adr/ADR-068-immutable-active-clean-rewrite-ownership-snapshot.md — Repository ve SQLite mutasyon sınırı</w:t>
      </w:r>
    </w:p>
    <w:p>
      <w:pPr>
        <w:pStyle w:val="ListBullet"/>
      </w:pPr>
      <w:r>
        <w:t>docs/CLEAN_BACKUP_REWRITE_ACTIVE_OWNERSHIP_SNAPSHOT_V1.md — Politika, rezervasyon ve çalışma defteri eşleşme sözleşmesi</w:t>
      </w:r>
    </w:p>
    <w:p>
      <w:pPr>
        <w:pStyle w:val="ListBullet"/>
      </w:pPr>
      <w:r>
        <w:t>docs/18_PROJECT_CONSTITUTION_V4.md — Build209 dönemindeki Proje Anayasası V4 çerçevesi (tarihsel temel)</w:t>
      </w:r>
    </w:p>
    <w:p>
      <w:pPr>
        <w:pStyle w:val="ListBullet"/>
      </w:pPr>
      <w:r>
        <w:t>config/project-constitution.json — Makine okunur anayasa kapıları</w:t>
      </w:r>
    </w:p>
    <w:p>
      <w:pPr>
        <w:pStyle w:val="ListBullet"/>
      </w:pPr>
      <w:r>
        <w:t>config/project-progress-model.json — Build-sonu ilerleme/ETA modeli</w:t>
      </w:r>
    </w:p>
    <w:p>
      <w:pPr>
        <w:pStyle w:val="ListBullet"/>
      </w:pPr>
      <w:r>
        <w:t>PROJECT_ARTIFACT_INDEX.md/.json — Tüm proje bilgi ve teslim indeksi</w:t>
      </w:r>
    </w:p>
    <w:p>
      <w:pPr>
        <w:pStyle w:val="ListBullet"/>
      </w:pPr>
      <w:r>
        <w:t>docs/current/MASTER_PROJECT_DOCUMENTATION_BUILD208.docx/.pdf — Build208 kapanış paket dokümantasyonu (tarihsel)</w:t>
      </w:r>
    </w:p>
    <w:p>
      <w:pPr>
        <w:pStyle w:val="ListBullet"/>
      </w:pPr>
      <w:r>
        <w:t>DEC-100 — Terminal clean-backup run ledger kanıt değişmezliği</w:t>
      </w:r>
    </w:p>
    <w:p>
      <w:pPr>
        <w:pStyle w:val="ListBullet"/>
      </w:pPr>
      <w:r>
        <w:t>docs/adr/ADR-083-clean-backup-terminal-ledger-immutability.md — SQLite UPDATE/DELETE/REPLACE fail-closed mimarisi</w:t>
      </w:r>
    </w:p>
    <w:p>
      <w:pPr>
        <w:pStyle w:val="ListBullet"/>
      </w:pPr>
      <w:r>
        <w:t>docs/CLEAN_BACKUP_REWRITE_TERMINAL_LEDGER_IMMUTABILITY_V1.md — Terminal/no-op/running→terminal davranış sözleşmesi</w:t>
      </w:r>
    </w:p>
    <w:p>
      <w:pPr>
        <w:pStyle w:val="ListBullet"/>
      </w:pPr>
      <w:r>
        <w:t>docs/current/MASTER_PROJECT_DOCUMENTATION_BUILD214.docx/.pdf — Build214 kapanış paket dokümantasyonu (tarihsel)</w:t>
      </w:r>
    </w:p>
    <w:p>
      <w:pPr>
        <w:pStyle w:val="ListBullet"/>
      </w:pPr>
      <w:r>
        <w:t>PROJECT_ARTIFACT_INDEX.md/.json — Build214 dönemindeki kaynak/belge/kanıt indeksi (tarihsel kayıt)</w:t>
      </w:r>
    </w:p>
    <w:p>
      <w:pPr>
        <w:pStyle w:val="ListBullet"/>
      </w:pPr>
      <w:r>
        <w:t>docs/decisions/DEC-106-windows-security-evidence-harness.md — OPEN-021/022 gerçek Windows kapanış koşulları</w:t>
      </w:r>
    </w:p>
    <w:p>
      <w:pPr>
        <w:pStyle w:val="ListBullet"/>
      </w:pPr>
      <w:r>
        <w:t>docs/adr/ADR-089-real-windows-efs-dpapi-packaged-evidence.md — EFS/DPAPI/paketli Electron kanıt mimarisi</w:t>
      </w:r>
    </w:p>
    <w:p>
      <w:pPr>
        <w:pStyle w:val="ListBullet"/>
      </w:pPr>
      <w:r>
        <w:t>docs/security/WINDOWS_SECURITY_EVIDENCE_BUILD215.md — Windows çalıştırma ve PASS/NOT_RUN sınırı</w:t>
      </w:r>
    </w:p>
    <w:p>
      <w:pPr>
        <w:pStyle w:val="ListBullet"/>
      </w:pPr>
      <w:r>
        <w:t>scripts/run-bronze-final-windows-validation.ps1 — Güncel build dinamik resmî Windows evidence runner</w:t>
      </w:r>
    </w:p>
    <w:p>
      <w:pPr>
        <w:pStyle w:val="ListBullet"/>
      </w:pPr>
      <w:r>
        <w:t>docs/decisions/DEC-107-windows-evidence-intake-source-binding.md — Windows kanıt taşıma/kabul ve exact-source bağlama ana kararı</w:t>
      </w:r>
    </w:p>
    <w:p>
      <w:pPr>
        <w:pStyle w:val="ListBullet"/>
      </w:pPr>
      <w:r>
        <w:t>docs/adr/ADR-090-windows-evidence-intake-and-source-binding.md — Manifest/SHA, host takma kimliği ve fail-closed intake mimarisi</w:t>
      </w:r>
    </w:p>
    <w:p>
      <w:pPr>
        <w:pStyle w:val="ListBullet"/>
      </w:pPr>
      <w:r>
        <w:t>docs/security/WINDOWS_EVIDENCE_INTAKE_BUILD216.md — Windows kanıt üretim/taşıma/kabul prosedürü ve kapanış sınırı</w:t>
      </w:r>
    </w:p>
    <w:p>
      <w:pPr>
        <w:pStyle w:val="ListBullet"/>
      </w:pPr>
      <w:r>
        <w:t>docs/decisions/DEC-108-open021-isolated-windows-closure-gate.md — OPEN-021 gerçek Windows kapanış kapsam izolasyonu</w:t>
      </w:r>
    </w:p>
    <w:p>
      <w:pPr>
        <w:pStyle w:val="ListBullet"/>
      </w:pPr>
      <w:r>
        <w:t>docs/adr/ADR-091-open021-efs-only-real-windows-proof.md — EFS-only real-Windows probe ve development/package yaşam döngüsü</w:t>
      </w:r>
    </w:p>
    <w:p>
      <w:pPr>
        <w:pStyle w:val="ListBullet"/>
      </w:pPr>
      <w:r>
        <w:t>docs/security/OPEN021_WINDOWS_CLOSURE_BUILD217.md — Tek tık çalıştırma, PASS şartları ve kapsam sınırı</w:t>
      </w:r>
    </w:p>
    <w:p>
      <w:pPr>
        <w:pStyle w:val="ListBullet"/>
      </w:pPr>
      <w:r>
        <w:t>docs/decisions/DEC-109-open022-isolated-windows-closure-gate.md — OPEN-022 gerçek Windows kapanış kapsam izolasyonu ve provider/backend ayrımı</w:t>
      </w:r>
    </w:p>
    <w:p>
      <w:pPr>
        <w:pStyle w:val="ListBullet"/>
      </w:pPr>
      <w:r>
        <w:t>docs/adr/ADR-092-open022-dpapi-protected-side-artifact-proof.md — safeStorage/DPAPI + Protected Side Artifact real-Windows probe ve development/package yaşam döngüsü</w:t>
      </w:r>
    </w:p>
    <w:p>
      <w:pPr>
        <w:pStyle w:val="ListBullet"/>
      </w:pPr>
      <w:r>
        <w:t>docs/security/OPEN022_WINDOWS_CLOSURE_BUILD218.md — Tek tık çalıştırma, PASS şartları ve kapsam sınırı</w:t>
      </w:r>
    </w:p>
    <w:p>
      <w:pPr>
        <w:pStyle w:val="ListBullet"/>
      </w:pPr>
      <w:r>
        <w:t>docs/decisions/DEC-110-unified-bronze-windows-security-closure.md — OPEN-021/022 birleşik gerçek Windows kapanış ana kararı</w:t>
      </w:r>
    </w:p>
    <w:p>
      <w:pPr>
        <w:pStyle w:val="ListBullet"/>
      </w:pPr>
      <w:r>
        <w:t>docs/adr/ADR-093-unified-bronze-windows-security-lifecycle.md — Tek build/install/uninstall ve bağımsız readiness mimarisi</w:t>
      </w:r>
    </w:p>
    <w:p>
      <w:pPr>
        <w:pStyle w:val="ListBullet"/>
      </w:pPr>
      <w:r>
        <w:t>docs/security/BRONZE_WINDOWS_SECURITY_CLOSURE_BUILD219.md — Tek tık Windows çalıştırma, exit-code ve evidence bundle prosedürü</w:t>
      </w:r>
    </w:p>
    <w:p>
      <w:pPr>
        <w:pStyle w:val="ListBullet"/>
      </w:pPr>
      <w:r>
        <w:t>docs/decisions/DEC-111-build219-windows-failure-bootstrap-remediation.md — Gerçek Build219 Windows failure evidence ve Build220 düzeltme kararı</w:t>
      </w:r>
    </w:p>
    <w:p>
      <w:pPr>
        <w:pStyle w:val="ListBullet"/>
      </w:pPr>
      <w:r>
        <w:t>docs/adr/ADR-094-windows-packager-bootstrap-and-ps51-evidence-encoding.md — İzole packager bootstrap, UTF-8 BOM ve process diagnostics mimarisi</w:t>
      </w:r>
    </w:p>
    <w:p>
      <w:pPr>
        <w:pStyle w:val="ListBullet"/>
      </w:pPr>
      <w:r>
        <w:t>docs/security/BRONZE_WINDOWS_SECURITY_RETRY_BUILD220.md — Build220 tek tık Windows yeniden test prosedürü</w:t>
      </w:r>
    </w:p>
    <w:p>
      <w:pPr>
        <w:pStyle w:val="Heading1"/>
      </w:pPr>
      <w:r>
        <w:t>9. Build 220 karar ve kanıt dosyaları</w:t>
      </w:r>
    </w:p>
    <w:p>
      <w:pPr>
        <w:pStyle w:val="ListBullet"/>
      </w:pPr>
      <w:r>
        <w:t>docs/decisions/DEC-104-protected-side-artifact-encryption.md</w:t>
      </w:r>
    </w:p>
    <w:p>
      <w:pPr>
        <w:pStyle w:val="ListBullet"/>
      </w:pPr>
      <w:r>
        <w:t>docs/adr/ADR-087-protected-side-artifact-boundary.md</w:t>
      </w:r>
    </w:p>
    <w:p>
      <w:pPr>
        <w:pStyle w:val="ListBullet"/>
      </w:pPr>
      <w:r>
        <w:t>docs/decisions/DEC-105-pr171-atomic-work-segmentation.md</w:t>
      </w:r>
    </w:p>
    <w:p>
      <w:pPr>
        <w:pStyle w:val="ListBullet"/>
      </w:pPr>
      <w:r>
        <w:t>docs/adr/ADR-088-pr171-stepwise-validation-persistence.md</w:t>
      </w:r>
    </w:p>
    <w:p>
      <w:pPr>
        <w:pStyle w:val="ListBullet"/>
      </w:pPr>
      <w:r>
        <w:t>docs/security/PROTECTED_SIDE_ARTIFACTS_BUILD214.md</w:t>
      </w:r>
    </w:p>
    <w:p>
      <w:pPr>
        <w:pStyle w:val="ListBullet"/>
      </w:pPr>
      <w:r>
        <w:t>docs/decisions/DEC-106-windows-security-evidence-harness.md</w:t>
      </w:r>
    </w:p>
    <w:p>
      <w:pPr>
        <w:pStyle w:val="ListBullet"/>
      </w:pPr>
      <w:r>
        <w:t>docs/adr/ADR-089-real-windows-efs-dpapi-packaged-evidence.md</w:t>
      </w:r>
    </w:p>
    <w:p>
      <w:pPr>
        <w:pStyle w:val="ListBullet"/>
      </w:pPr>
      <w:r>
        <w:t>docs/security/WINDOWS_SECURITY_EVIDENCE_BUILD215.md</w:t>
      </w:r>
    </w:p>
    <w:p>
      <w:pPr>
        <w:pStyle w:val="ListBullet"/>
      </w:pPr>
      <w:r>
        <w:t>docs/decisions/DEC-107-windows-evidence-intake-source-binding.md</w:t>
      </w:r>
    </w:p>
    <w:p>
      <w:pPr>
        <w:pStyle w:val="ListBullet"/>
      </w:pPr>
      <w:r>
        <w:t>docs/adr/ADR-090-windows-evidence-intake-and-source-binding.md</w:t>
      </w:r>
    </w:p>
    <w:p>
      <w:pPr>
        <w:pStyle w:val="ListBullet"/>
      </w:pPr>
      <w:r>
        <w:t>docs/security/WINDOWS_EVIDENCE_INTAKE_BUILD216.md</w:t>
      </w:r>
    </w:p>
    <w:p>
      <w:pPr>
        <w:pStyle w:val="ListBullet"/>
      </w:pPr>
      <w:r>
        <w:t>docs/18_PROJECT_CONSTITUTION_V5.md</w:t>
      </w:r>
    </w:p>
    <w:p>
      <w:pPr>
        <w:pStyle w:val="ListBullet"/>
      </w:pPr>
      <w:r>
        <w:t>docs/18_PROJECT_CONSTITUTION_V5.json</w:t>
      </w:r>
    </w:p>
    <w:p>
      <w:pPr>
        <w:pStyle w:val="ListBullet"/>
      </w:pPr>
      <w:r>
        <w:t>docs/decisions/DEC-108-open021-isolated-windows-closure-gate.md</w:t>
      </w:r>
    </w:p>
    <w:p>
      <w:pPr>
        <w:pStyle w:val="ListBullet"/>
      </w:pPr>
      <w:r>
        <w:t>docs/adr/ADR-091-open021-efs-only-real-windows-proof.md</w:t>
      </w:r>
    </w:p>
    <w:p>
      <w:pPr>
        <w:pStyle w:val="ListBullet"/>
      </w:pPr>
      <w:r>
        <w:t>docs/security/OPEN021_WINDOWS_CLOSURE_BUILD217.md</w:t>
      </w:r>
    </w:p>
    <w:p>
      <w:pPr>
        <w:pStyle w:val="ListBullet"/>
      </w:pPr>
      <w:r>
        <w:t>docs/decisions/DEC-109-open022-isolated-windows-closure-gate.md</w:t>
      </w:r>
    </w:p>
    <w:p>
      <w:pPr>
        <w:pStyle w:val="ListBullet"/>
      </w:pPr>
      <w:r>
        <w:t>docs/adr/ADR-092-open022-dpapi-protected-side-artifact-proof.md</w:t>
      </w:r>
    </w:p>
    <w:p>
      <w:pPr>
        <w:pStyle w:val="ListBullet"/>
      </w:pPr>
      <w:r>
        <w:t>docs/security/OPEN022_WINDOWS_CLOSURE_BUILD218.md</w:t>
      </w:r>
    </w:p>
    <w:p>
      <w:pPr>
        <w:pStyle w:val="ListBullet"/>
      </w:pPr>
      <w:r>
        <w:t>docs/decisions/DEC-110-unified-bronze-windows-security-closure.md</w:t>
      </w:r>
    </w:p>
    <w:p>
      <w:pPr>
        <w:pStyle w:val="ListBullet"/>
      </w:pPr>
      <w:r>
        <w:t>docs/adr/ADR-093-unified-bronze-windows-security-lifecycle.md</w:t>
      </w:r>
    </w:p>
    <w:p>
      <w:pPr>
        <w:pStyle w:val="ListBullet"/>
      </w:pPr>
      <w:r>
        <w:t>docs/security/BRONZE_WINDOWS_SECURITY_CLOSURE_BUILD219.md</w:t>
      </w:r>
    </w:p>
    <w:p>
      <w:pPr>
        <w:pStyle w:val="ListBullet"/>
      </w:pPr>
      <w:r>
        <w:t>BUILD_STATUS_BRONZE_RC2_BUILD220.md</w:t>
      </w:r>
    </w:p>
    <w:p>
      <w:pPr>
        <w:pStyle w:val="ListBullet"/>
      </w:pPr>
      <w:r>
        <w:t>RELEASE_NOTES_BRONZE_RC2_BUILD220.md</w:t>
      </w:r>
    </w:p>
    <w:p>
      <w:pPr>
        <w:pStyle w:val="ListBullet"/>
      </w:pPr>
      <w:r>
        <w:t>BUILD220_ARCHITECTURE_VALIDATION_REPORT.md</w:t>
      </w:r>
    </w:p>
    <w:p>
      <w:pPr>
        <w:pStyle w:val="ListBullet"/>
      </w:pPr>
      <w:r>
        <w:t>BUILD220_DELIVERY_VALIDATION_REPORT.md</w:t>
      </w:r>
    </w:p>
    <w:p>
      <w:pPr>
        <w:pStyle w:val="ListBullet"/>
      </w:pPr>
      <w:r>
        <w:t>PROJECT_ARTIFACT_INDEX.md</w:t>
      </w:r>
    </w:p>
    <w:p>
      <w:pPr>
        <w:pStyle w:val="ListBullet"/>
      </w:pPr>
      <w:r>
        <w:t>PROJECT_ARTIFACT_INDEX.json</w:t>
      </w:r>
    </w:p>
    <w:p/>
    <w:p>
      <w:pPr>
        <w:jc w:val="center"/>
      </w:pPr>
      <w:r>
        <w:t>Bu belge güncel kaynak ağacından Build kapanış sürecinde otomatik üretilir. Tarihsel build belgeleri kendi sürümlerini korur; aktif davranış için Ana Build Defteri ve güncel Proje Anayasası üstündür.</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C4D2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2C0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