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brand-mark.png"/>
                    <pic:cNvPicPr/>
                  </pic:nvPicPr>
                  <pic:blipFill>
                    <a:blip r:embed="rId11"/>
                    <a:stretch>
                      <a:fillRect/>
                    </a:stretch>
                  </pic:blipFill>
                  <pic:spPr>
                    <a:xfrm>
                      <a:off x="0" y="0"/>
                      <a:ext cx="1143000" cy="1143000"/>
                    </a:xfrm>
                    <a:prstGeom prst="rect"/>
                  </pic:spPr>
                </pic:pic>
              </a:graphicData>
            </a:graphic>
          </wp:inline>
        </w:drawing>
      </w:r>
    </w:p>
    <w:p>
      <w:pPr>
        <w:jc w:val="center"/>
      </w:pPr>
      <w:r>
        <w:rPr>
          <w:rFonts w:ascii="Calibri" w:hAnsi="Calibri"/>
          <w:b/>
          <w:color w:val="D5A526"/>
          <w:sz w:val="20"/>
        </w:rPr>
        <w:t>GÜNCEL ÇALIŞMA REFERANSI</w:t>
      </w:r>
    </w:p>
    <w:p>
      <w:pPr>
        <w:spacing w:after="80"/>
        <w:jc w:val="center"/>
      </w:pPr>
      <w:r>
        <w:rPr>
          <w:rFonts w:ascii="Calibri" w:hAnsi="Calibri"/>
          <w:b/>
          <w:color w:val="7C4D20"/>
          <w:sz w:val="56"/>
        </w:rPr>
        <w:t>ANADOLU PARSI</w:t>
      </w:r>
    </w:p>
    <w:p>
      <w:pPr>
        <w:jc w:val="center"/>
      </w:pPr>
      <w:r>
        <w:rPr>
          <w:rFonts w:ascii="Calibri" w:hAnsi="Calibri"/>
          <w:b/>
          <w:color w:val="333537"/>
          <w:sz w:val="42"/>
        </w:rPr>
        <w:t>Aile Yaşam Merkezi</w:t>
      </w:r>
    </w:p>
    <w:p>
      <w:pPr>
        <w:spacing w:after="320"/>
        <w:jc w:val="center"/>
      </w:pPr>
      <w:r>
        <w:rPr>
          <w:rFonts w:ascii="Calibri" w:hAnsi="Calibri"/>
          <w:color w:val="467259"/>
          <w:sz w:val="25"/>
        </w:rPr>
        <w:t>Karar • Kural • Mimari • İş Akışı • Açık İş • Kanıt Sicili</w:t>
      </w:r>
    </w:p>
    <w:tbl>
      <w:tblPr>
        <w:tblStyle w:val="TableGrid"/>
        <w:tblW w:type="dxa" w:w="9360"/>
        <w:jc w:val="center"/>
        <w:tblLayout w:type="fixed"/>
        <w:tblLook w:firstColumn="1" w:firstRow="1" w:lastColumn="0" w:lastRow="0" w:noHBand="0" w:noVBand="1" w:val="04A0"/>
      </w:tblPr>
      <w:tblGrid>
        <w:gridCol w:w="1900"/>
        <w:gridCol w:w="7460"/>
      </w:tblGrid>
      <w:tr>
        <w:tc>
          <w:tcPr>
            <w:tcW w:type="dxa" w:w="1900"/>
            <w:shd w:fill="7C4D20"/>
            <w:vAlign w:val="center"/>
          </w:tcPr>
          <w:p>
            <w:pPr>
              <w:spacing w:after="0"/>
            </w:pPr>
            <w:r/>
            <w:r>
              <w:rPr>
                <w:rFonts w:ascii="Calibri" w:hAnsi="Calibri"/>
                <w:b/>
                <w:color w:val="FFFFFF"/>
                <w:sz w:val="16"/>
              </w:rPr>
              <w:t>Alan</w:t>
            </w:r>
          </w:p>
        </w:tc>
        <w:tc>
          <w:tcPr>
            <w:tcW w:type="dxa" w:w="7460"/>
            <w:shd w:fill="7C4D20"/>
            <w:vAlign w:val="center"/>
          </w:tcPr>
          <w:p>
            <w:pPr>
              <w:spacing w:after="0"/>
            </w:pPr>
            <w:r/>
            <w:r>
              <w:rPr>
                <w:rFonts w:ascii="Calibri" w:hAnsi="Calibri"/>
                <w:b/>
                <w:color w:val="FFFFFF"/>
                <w:sz w:val="16"/>
              </w:rPr>
              <w:t>Güncel değer</w:t>
            </w:r>
          </w:p>
        </w:tc>
      </w:tr>
      <w:tr>
        <w:tc>
          <w:tcPr>
            <w:tcW w:type="dxa" w:w="1900"/>
            <w:vAlign w:val="center"/>
          </w:tcPr>
          <w:p>
            <w:pPr>
              <w:spacing w:after="0"/>
            </w:pPr>
            <w:r/>
            <w:r>
              <w:rPr>
                <w:rFonts w:ascii="Calibri" w:hAnsi="Calibri"/>
                <w:b w:val="0"/>
                <w:color w:val="333537"/>
                <w:sz w:val="16"/>
              </w:rPr>
              <w:t>Belge sürümü</w:t>
            </w:r>
          </w:p>
        </w:tc>
        <w:tc>
          <w:tcPr>
            <w:tcW w:type="dxa" w:w="7460"/>
            <w:vAlign w:val="center"/>
          </w:tcPr>
          <w:p>
            <w:pPr>
              <w:spacing w:after="0"/>
            </w:pPr>
            <w:r/>
            <w:r>
              <w:rPr>
                <w:rFonts w:ascii="Calibri" w:hAnsi="Calibri"/>
                <w:b w:val="0"/>
                <w:color w:val="333537"/>
                <w:sz w:val="16"/>
              </w:rPr>
              <w:t>GUNCEL-2026-08-17-V1</w:t>
            </w:r>
          </w:p>
        </w:tc>
      </w:tr>
      <w:tr>
        <w:tc>
          <w:tcPr>
            <w:tcW w:type="dxa" w:w="1900"/>
            <w:vAlign w:val="center"/>
          </w:tcPr>
          <w:p>
            <w:pPr>
              <w:spacing w:after="0"/>
            </w:pPr>
            <w:r/>
            <w:r>
              <w:rPr>
                <w:rFonts w:ascii="Calibri" w:hAnsi="Calibri"/>
                <w:b w:val="0"/>
                <w:color w:val="333537"/>
                <w:sz w:val="16"/>
              </w:rPr>
              <w:t>Tarih</w:t>
            </w:r>
          </w:p>
        </w:tc>
        <w:tc>
          <w:tcPr>
            <w:tcW w:type="dxa" w:w="7460"/>
            <w:vAlign w:val="center"/>
          </w:tcPr>
          <w:p>
            <w:pPr>
              <w:spacing w:after="0"/>
            </w:pPr>
            <w:r/>
            <w:r>
              <w:rPr>
                <w:rFonts w:ascii="Calibri" w:hAnsi="Calibri"/>
                <w:b w:val="0"/>
                <w:color w:val="333537"/>
                <w:sz w:val="16"/>
              </w:rPr>
              <w:t>17.08.2026</w:t>
            </w:r>
          </w:p>
        </w:tc>
      </w:tr>
      <w:tr>
        <w:tc>
          <w:tcPr>
            <w:tcW w:type="dxa" w:w="1900"/>
            <w:vAlign w:val="center"/>
          </w:tcPr>
          <w:p>
            <w:pPr>
              <w:spacing w:after="0"/>
            </w:pPr>
            <w:r/>
            <w:r>
              <w:rPr>
                <w:rFonts w:ascii="Calibri" w:hAnsi="Calibri"/>
                <w:b w:val="0"/>
                <w:color w:val="333537"/>
                <w:sz w:val="16"/>
              </w:rPr>
              <w:t>Ürün sürümü</w:t>
            </w:r>
          </w:p>
        </w:tc>
        <w:tc>
          <w:tcPr>
            <w:tcW w:type="dxa" w:w="7460"/>
            <w:vAlign w:val="center"/>
          </w:tcPr>
          <w:p>
            <w:pPr>
              <w:spacing w:after="0"/>
            </w:pPr>
            <w:r/>
            <w:r>
              <w:rPr>
                <w:rFonts w:ascii="Calibri" w:hAnsi="Calibri"/>
                <w:b w:val="0"/>
                <w:color w:val="333537"/>
                <w:sz w:val="16"/>
              </w:rPr>
              <w:t>Bronze 04.08.2026.29</w:t>
            </w:r>
          </w:p>
        </w:tc>
      </w:tr>
      <w:tr>
        <w:tc>
          <w:tcPr>
            <w:tcW w:type="dxa" w:w="1900"/>
            <w:vAlign w:val="center"/>
          </w:tcPr>
          <w:p>
            <w:pPr>
              <w:spacing w:after="0"/>
            </w:pPr>
            <w:r/>
            <w:r>
              <w:rPr>
                <w:rFonts w:ascii="Calibri" w:hAnsi="Calibri"/>
                <w:b w:val="0"/>
                <w:color w:val="333537"/>
                <w:sz w:val="16"/>
              </w:rPr>
              <w:t>Kaynak HEAD</w:t>
            </w:r>
          </w:p>
        </w:tc>
        <w:tc>
          <w:tcPr>
            <w:tcW w:type="dxa" w:w="7460"/>
            <w:vAlign w:val="center"/>
          </w:tcPr>
          <w:p>
            <w:pPr>
              <w:spacing w:after="0"/>
            </w:pPr>
            <w:r/>
            <w:r>
              <w:rPr>
                <w:rFonts w:ascii="Calibri" w:hAnsi="Calibri"/>
                <w:b w:val="0"/>
                <w:color w:val="333537"/>
                <w:sz w:val="16"/>
              </w:rPr>
              <w:t>d32a4a26995739bd7069e654d098218fa4526ff4</w:t>
            </w:r>
          </w:p>
        </w:tc>
      </w:tr>
      <w:tr>
        <w:tc>
          <w:tcPr>
            <w:tcW w:type="dxa" w:w="1900"/>
            <w:vAlign w:val="center"/>
          </w:tcPr>
          <w:p>
            <w:pPr>
              <w:spacing w:after="0"/>
            </w:pPr>
            <w:r/>
            <w:r>
              <w:rPr>
                <w:rFonts w:ascii="Calibri" w:hAnsi="Calibri"/>
                <w:b w:val="0"/>
                <w:color w:val="333537"/>
                <w:sz w:val="16"/>
              </w:rPr>
              <w:t>Kural sicili</w:t>
            </w:r>
          </w:p>
        </w:tc>
        <w:tc>
          <w:tcPr>
            <w:tcW w:type="dxa" w:w="7460"/>
            <w:vAlign w:val="center"/>
          </w:tcPr>
          <w:p>
            <w:pPr>
              <w:spacing w:after="0"/>
            </w:pPr>
            <w:r/>
            <w:r>
              <w:rPr>
                <w:rFonts w:ascii="Calibri" w:hAnsi="Calibri"/>
                <w:b w:val="0"/>
                <w:color w:val="333537"/>
                <w:sz w:val="16"/>
              </w:rPr>
              <w:t>PPT-CANONICAL-RULE-REGISTRY-V9 / 194 aktif / 5e7e45b7c2ae9f3c7465866a58d9d389ef6a793dab855a68a1434e003eade081</w:t>
            </w:r>
          </w:p>
        </w:tc>
      </w:tr>
      <w:tr>
        <w:tc>
          <w:tcPr>
            <w:tcW w:type="dxa" w:w="1900"/>
            <w:vAlign w:val="center"/>
          </w:tcPr>
          <w:p>
            <w:pPr>
              <w:spacing w:after="0"/>
            </w:pPr>
            <w:r/>
            <w:r>
              <w:rPr>
                <w:rFonts w:ascii="Calibri" w:hAnsi="Calibri"/>
                <w:b w:val="0"/>
                <w:color w:val="333537"/>
                <w:sz w:val="16"/>
              </w:rPr>
              <w:t>Durum</w:t>
            </w:r>
          </w:p>
        </w:tc>
        <w:tc>
          <w:tcPr>
            <w:tcW w:type="dxa" w:w="7460"/>
            <w:vAlign w:val="center"/>
          </w:tcPr>
          <w:p>
            <w:pPr>
              <w:spacing w:after="0"/>
            </w:pPr>
            <w:r/>
            <w:r>
              <w:rPr>
                <w:rFonts w:ascii="Calibri" w:hAnsi="Calibri"/>
                <w:b w:val="0"/>
                <w:color w:val="333537"/>
                <w:sz w:val="16"/>
              </w:rPr>
              <w:t>Aktif çalışma referansı; build kapanışı veya kanal terfisi değildir</w:t>
            </w:r>
          </w:p>
        </w:tc>
      </w:tr>
    </w:tbl>
    <w:p>
      <w:pPr>
        <w:spacing w:after="120" w:line="300" w:lineRule="auto"/>
      </w:pPr>
      <w:r>
        <w:rPr>
          <w:rFonts w:ascii="Calibri" w:hAnsi="Calibri"/>
          <w:i/>
        </w:rPr>
        <w:t>Tarihsel Build209–228 ve eski Bronze master belgeleri değiştirilmeden korunmuştur. Yerel PASS, dış kabul kanıtı değildir; NOT_RUN/PARTIAL/BLOCKED tamamlandı gösterilmez.</w:t>
      </w:r>
    </w:p>
    <w:p>
      <w:r>
        <w:br w:type="page"/>
      </w:r>
    </w:p>
    <w:p>
      <w:pPr>
        <w:pStyle w:val="Heading1"/>
        <w:keepNext/>
      </w:pPr>
      <w:r>
        <w:t>1. Yönetici özeti</w:t>
      </w:r>
    </w:p>
    <w:p>
      <w:pPr>
        <w:spacing w:after="120" w:line="300" w:lineRule="auto"/>
      </w:pPr>
      <w:r>
        <w:rPr>
          <w:rFonts w:ascii="Calibri" w:hAnsi="Calibri"/>
          <w:i w:val="0"/>
        </w:rPr>
        <w:t>Denetimde 42 mevcut Word/PDF dosyasının tamamı ayrıştırıldı; 42 dosya okunabilir bulundu. Tarihsel çiftler korunurken güncel master sürüm ayrı adla oluşturuldu.</w:t>
      </w:r>
    </w:p>
    <w:tbl>
      <w:tblPr>
        <w:tblStyle w:val="TableGrid"/>
        <w:tblW w:type="dxa" w:w="9360"/>
        <w:jc w:val="center"/>
        <w:tblLayout w:type="fixed"/>
        <w:tblLook w:firstColumn="1" w:firstRow="1" w:lastColumn="0" w:lastRow="0" w:noHBand="0" w:noVBand="1" w:val="04A0"/>
      </w:tblPr>
      <w:tblGrid>
        <w:gridCol w:w="3000"/>
        <w:gridCol w:w="6360"/>
      </w:tblGrid>
      <w:tr>
        <w:tc>
          <w:tcPr>
            <w:tcW w:type="dxa" w:w="3000"/>
            <w:shd w:fill="7C4D20"/>
            <w:vAlign w:val="center"/>
          </w:tcPr>
          <w:p>
            <w:pPr>
              <w:spacing w:after="0"/>
            </w:pPr>
            <w:r/>
            <w:r>
              <w:rPr>
                <w:rFonts w:ascii="Calibri" w:hAnsi="Calibri"/>
                <w:b/>
                <w:color w:val="FFFFFF"/>
                <w:sz w:val="17"/>
              </w:rPr>
              <w:t>Gösterge</w:t>
            </w:r>
          </w:p>
        </w:tc>
        <w:tc>
          <w:tcPr>
            <w:tcW w:type="dxa" w:w="6360"/>
            <w:shd w:fill="7C4D20"/>
            <w:vAlign w:val="center"/>
          </w:tcPr>
          <w:p>
            <w:pPr>
              <w:spacing w:after="0"/>
            </w:pPr>
            <w:r/>
            <w:r>
              <w:rPr>
                <w:rFonts w:ascii="Calibri" w:hAnsi="Calibri"/>
                <w:b/>
                <w:color w:val="FFFFFF"/>
                <w:sz w:val="17"/>
              </w:rPr>
              <w:t>Canlı sonuç</w:t>
            </w:r>
          </w:p>
        </w:tc>
      </w:tr>
      <w:tr>
        <w:tc>
          <w:tcPr>
            <w:tcW w:type="dxa" w:w="3000"/>
            <w:vAlign w:val="center"/>
          </w:tcPr>
          <w:p>
            <w:pPr>
              <w:spacing w:after="0"/>
            </w:pPr>
            <w:r/>
            <w:r>
              <w:rPr>
                <w:rFonts w:ascii="Calibri" w:hAnsi="Calibri"/>
                <w:b w:val="0"/>
                <w:color w:val="333537"/>
                <w:sz w:val="17"/>
              </w:rPr>
              <w:t>Kabul edilmiş gereksinim</w:t>
            </w:r>
          </w:p>
        </w:tc>
        <w:tc>
          <w:tcPr>
            <w:tcW w:type="dxa" w:w="6360"/>
            <w:vAlign w:val="center"/>
          </w:tcPr>
          <w:p>
            <w:pPr>
              <w:spacing w:after="0"/>
            </w:pPr>
            <w:r/>
            <w:r>
              <w:rPr>
                <w:rFonts w:ascii="Calibri" w:hAnsi="Calibri"/>
                <w:b w:val="0"/>
                <w:color w:val="333537"/>
                <w:sz w:val="17"/>
              </w:rPr>
              <w:t>358</w:t>
            </w:r>
          </w:p>
        </w:tc>
      </w:tr>
      <w:tr>
        <w:tc>
          <w:tcPr>
            <w:tcW w:type="dxa" w:w="3000"/>
            <w:vAlign w:val="center"/>
          </w:tcPr>
          <w:p>
            <w:pPr>
              <w:spacing w:after="0"/>
            </w:pPr>
            <w:r/>
            <w:r>
              <w:rPr>
                <w:rFonts w:ascii="Calibri" w:hAnsi="Calibri"/>
                <w:b w:val="0"/>
                <w:color w:val="333537"/>
                <w:sz w:val="17"/>
              </w:rPr>
              <w:t>COMPLETE / PARTIAL / FOUNDATION / NOT_IMPLEMENTED</w:t>
            </w:r>
          </w:p>
        </w:tc>
        <w:tc>
          <w:tcPr>
            <w:tcW w:type="dxa" w:w="6360"/>
            <w:vAlign w:val="center"/>
          </w:tcPr>
          <w:p>
            <w:pPr>
              <w:spacing w:after="0"/>
            </w:pPr>
            <w:r/>
            <w:r>
              <w:rPr>
                <w:rFonts w:ascii="Calibri" w:hAnsi="Calibri"/>
                <w:b w:val="0"/>
                <w:color w:val="333537"/>
                <w:sz w:val="17"/>
              </w:rPr>
              <w:t>109 / 25 / 1 / 223</w:t>
            </w:r>
          </w:p>
        </w:tc>
      </w:tr>
      <w:tr>
        <w:tc>
          <w:tcPr>
            <w:tcW w:type="dxa" w:w="3000"/>
            <w:vAlign w:val="center"/>
          </w:tcPr>
          <w:p>
            <w:pPr>
              <w:spacing w:after="0"/>
            </w:pPr>
            <w:r/>
            <w:r>
              <w:rPr>
                <w:rFonts w:ascii="Calibri" w:hAnsi="Calibri"/>
                <w:b w:val="0"/>
                <w:color w:val="333537"/>
                <w:sz w:val="17"/>
              </w:rPr>
              <w:t>Kanonik kural</w:t>
            </w:r>
          </w:p>
        </w:tc>
        <w:tc>
          <w:tcPr>
            <w:tcW w:type="dxa" w:w="6360"/>
            <w:vAlign w:val="center"/>
          </w:tcPr>
          <w:p>
            <w:pPr>
              <w:spacing w:after="0"/>
            </w:pPr>
            <w:r/>
            <w:r>
              <w:rPr>
                <w:rFonts w:ascii="Calibri" w:hAnsi="Calibri"/>
                <w:b w:val="0"/>
                <w:color w:val="333537"/>
                <w:sz w:val="17"/>
              </w:rPr>
              <w:t>208 toplam / 194 aktif / 14 superseded</w:t>
            </w:r>
          </w:p>
        </w:tc>
      </w:tr>
      <w:tr>
        <w:tc>
          <w:tcPr>
            <w:tcW w:type="dxa" w:w="3000"/>
            <w:vAlign w:val="center"/>
          </w:tcPr>
          <w:p>
            <w:pPr>
              <w:spacing w:after="0"/>
            </w:pPr>
            <w:r/>
            <w:r>
              <w:rPr>
                <w:rFonts w:ascii="Calibri" w:hAnsi="Calibri"/>
                <w:b w:val="0"/>
                <w:color w:val="333537"/>
                <w:sz w:val="17"/>
              </w:rPr>
              <w:t>Karar / ADR / threat dosyası</w:t>
            </w:r>
          </w:p>
        </w:tc>
        <w:tc>
          <w:tcPr>
            <w:tcW w:type="dxa" w:w="6360"/>
            <w:vAlign w:val="center"/>
          </w:tcPr>
          <w:p>
            <w:pPr>
              <w:spacing w:after="0"/>
            </w:pPr>
            <w:r/>
            <w:r>
              <w:rPr>
                <w:rFonts w:ascii="Calibri" w:hAnsi="Calibri"/>
                <w:b w:val="0"/>
                <w:color w:val="333537"/>
                <w:sz w:val="17"/>
              </w:rPr>
              <w:t>162 / 106 / 72</w:t>
            </w:r>
          </w:p>
        </w:tc>
      </w:tr>
      <w:tr>
        <w:tc>
          <w:tcPr>
            <w:tcW w:type="dxa" w:w="3000"/>
            <w:vAlign w:val="center"/>
          </w:tcPr>
          <w:p>
            <w:pPr>
              <w:spacing w:after="0"/>
            </w:pPr>
            <w:r/>
            <w:r>
              <w:rPr>
                <w:rFonts w:ascii="Calibri" w:hAnsi="Calibri"/>
                <w:b w:val="0"/>
                <w:color w:val="333537"/>
                <w:sz w:val="17"/>
              </w:rPr>
              <w:t>İş paketi</w:t>
            </w:r>
          </w:p>
        </w:tc>
        <w:tc>
          <w:tcPr>
            <w:tcW w:type="dxa" w:w="6360"/>
            <w:vAlign w:val="center"/>
          </w:tcPr>
          <w:p>
            <w:pPr>
              <w:spacing w:after="0"/>
            </w:pPr>
            <w:r/>
            <w:r>
              <w:rPr>
                <w:rFonts w:ascii="Calibri" w:hAnsi="Calibri"/>
                <w:b w:val="0"/>
                <w:color w:val="333537"/>
                <w:sz w:val="17"/>
              </w:rPr>
              <w:t>26 toplam; 3 resmî COMPLETED, 23 açık/acceptance blocked</w:t>
            </w:r>
          </w:p>
        </w:tc>
      </w:tr>
      <w:tr>
        <w:tc>
          <w:tcPr>
            <w:tcW w:type="dxa" w:w="3000"/>
            <w:vAlign w:val="center"/>
          </w:tcPr>
          <w:p>
            <w:pPr>
              <w:spacing w:after="0"/>
            </w:pPr>
            <w:r/>
            <w:r>
              <w:rPr>
                <w:rFonts w:ascii="Calibri" w:hAnsi="Calibri"/>
                <w:b w:val="0"/>
                <w:color w:val="333537"/>
                <w:sz w:val="17"/>
              </w:rPr>
              <w:t>Silver</w:t>
            </w:r>
          </w:p>
        </w:tc>
        <w:tc>
          <w:tcPr>
            <w:tcW w:type="dxa" w:w="6360"/>
            <w:vAlign w:val="center"/>
          </w:tcPr>
          <w:p>
            <w:pPr>
              <w:spacing w:after="0"/>
            </w:pPr>
            <w:r/>
            <w:r>
              <w:rPr>
                <w:rFonts w:ascii="Calibri" w:hAnsi="Calibri"/>
                <w:b w:val="0"/>
                <w:color w:val="333537"/>
                <w:sz w:val="17"/>
              </w:rPr>
              <w:t>BLOCKED</w:t>
            </w:r>
          </w:p>
        </w:tc>
      </w:tr>
    </w:tbl>
    <w:p>
      <w:pPr>
        <w:pStyle w:val="Heading1"/>
        <w:keepNext/>
      </w:pPr>
      <w:r>
        <w:t>2. Belge yetkisi ve tarihsel koruma</w:t>
      </w:r>
    </w:p>
    <w:p>
      <w:pPr>
        <w:spacing w:after="120" w:line="300" w:lineRule="auto"/>
      </w:pPr>
      <w:r>
        <w:rPr>
          <w:rFonts w:ascii="Calibri" w:hAnsi="Calibri"/>
          <w:i w:val="0"/>
        </w:rPr>
        <w:t>Kanonik kural sicili ve Proje Anayasası en üst makine-okunur otoritedir.</w:t>
      </w:r>
    </w:p>
    <w:p>
      <w:pPr>
        <w:spacing w:after="120" w:line="300" w:lineRule="auto"/>
      </w:pPr>
      <w:r>
        <w:rPr>
          <w:rFonts w:ascii="Calibri" w:hAnsi="Calibri"/>
          <w:i w:val="0"/>
        </w:rPr>
        <w:t>Aktif governance, kullanıcı karar ve kabul edilmiş kapsam sicilleri çalışma durumunu belirler.</w:t>
      </w:r>
    </w:p>
    <w:p>
      <w:pPr>
        <w:spacing w:after="120" w:line="300" w:lineRule="auto"/>
      </w:pPr>
      <w:r>
        <w:rPr>
          <w:rFonts w:ascii="Calibri" w:hAnsi="Calibri"/>
          <w:i w:val="0"/>
        </w:rPr>
        <w:t>Bu güncel master, aktif Markdown/config/DEC/ADR/threat/source/test kanıtlarını birleştirir.</w:t>
      </w:r>
    </w:p>
    <w:p>
      <w:pPr>
        <w:spacing w:after="120" w:line="300" w:lineRule="auto"/>
      </w:pPr>
      <w:r>
        <w:rPr>
          <w:rFonts w:ascii="Calibri" w:hAnsi="Calibri"/>
          <w:i w:val="0"/>
        </w:rPr>
        <w:t>Build209–228 ve eski Bronze Word/PDF dosyaları kendi zamanlarının tarihsel delilidir; aktif davranışı geçersiz kılamaz ve üzerine yazılmaz.</w:t>
      </w:r>
    </w:p>
    <w:p>
      <w:pPr>
        <w:pStyle w:val="Heading1"/>
        <w:keepNext/>
      </w:pPr>
      <w:r>
        <w:t>3. Kanonik kapsam ve kural tabanı</w:t>
      </w:r>
    </w:p>
    <w:p>
      <w:pPr>
        <w:spacing w:after="120" w:line="300" w:lineRule="auto"/>
      </w:pPr>
      <w:r>
        <w:rPr>
          <w:rFonts w:ascii="Calibri" w:hAnsi="Calibri"/>
          <w:i w:val="0"/>
        </w:rPr>
        <w:t>Kapsam sicilinde 358 gereksinim vardır. Dağılım: COMPLETE 109, PARTIAL 25, FOUNDATION_STARTED 1, NOT_IMPLEMENTED 223.</w:t>
      </w:r>
    </w:p>
    <w:p>
      <w:pPr>
        <w:spacing w:after="120" w:line="300" w:lineRule="auto"/>
      </w:pPr>
      <w:r>
        <w:rPr>
          <w:rFonts w:ascii="Calibri" w:hAnsi="Calibri"/>
          <w:i w:val="0"/>
        </w:rPr>
        <w:t>Kural sicili PPT-CANONICAL-RULE-REGISTRY-V9: 208 toplam, 194 aktif, 14 superseded. SHA-256 5e7e45b7c2ae9f3c7465866a58d9d389ef6a793dab855a68a1434e003eade081.</w:t>
      </w:r>
    </w:p>
    <w:p>
      <w:pPr>
        <w:spacing w:after="120" w:line="300" w:lineRule="auto"/>
      </w:pPr>
      <w:r>
        <w:rPr>
          <w:rFonts w:ascii="Calibri" w:hAnsi="Calibri"/>
          <w:i w:val="0"/>
        </w:rPr>
        <w:t>Tamamlanma zinciri karar → domain → şema/migration → use-case → repository → PEP/UoW → API/IPC → UI/menü → hedefli test → belge → kanıttır. Zincirin herhangi bir halkası eksikse requirement tamamlanmaz.</w:t>
      </w:r>
    </w:p>
    <w:p>
      <w:pPr>
        <w:pStyle w:val="Heading1"/>
        <w:keepNext/>
      </w:pPr>
      <w:r>
        <w:t>4. Güncel altyapı ve mimari</w:t>
      </w:r>
    </w:p>
    <w:tbl>
      <w:tblPr>
        <w:tblStyle w:val="TableGrid"/>
        <w:tblW w:type="dxa" w:w="9360"/>
        <w:jc w:val="center"/>
        <w:tblLayout w:type="fixed"/>
        <w:tblLook w:firstColumn="1" w:firstRow="1" w:lastColumn="0" w:lastRow="0" w:noHBand="0" w:noVBand="1" w:val="04A0"/>
      </w:tblPr>
      <w:tblGrid>
        <w:gridCol w:w="2100"/>
        <w:gridCol w:w="7260"/>
      </w:tblGrid>
      <w:tr>
        <w:tc>
          <w:tcPr>
            <w:tcW w:type="dxa" w:w="2100"/>
            <w:shd w:fill="7C4D20"/>
            <w:vAlign w:val="center"/>
          </w:tcPr>
          <w:p>
            <w:pPr>
              <w:spacing w:after="0"/>
            </w:pPr>
            <w:r/>
            <w:r>
              <w:rPr>
                <w:rFonts w:ascii="Calibri" w:hAnsi="Calibri"/>
                <w:b/>
                <w:color w:val="FFFFFF"/>
                <w:sz w:val="16"/>
              </w:rPr>
              <w:t>Katman</w:t>
            </w:r>
          </w:p>
        </w:tc>
        <w:tc>
          <w:tcPr>
            <w:tcW w:type="dxa" w:w="7260"/>
            <w:shd w:fill="7C4D20"/>
            <w:vAlign w:val="center"/>
          </w:tcPr>
          <w:p>
            <w:pPr>
              <w:spacing w:after="0"/>
            </w:pPr>
            <w:r/>
            <w:r>
              <w:rPr>
                <w:rFonts w:ascii="Calibri" w:hAnsi="Calibri"/>
                <w:b/>
                <w:color w:val="FFFFFF"/>
                <w:sz w:val="16"/>
              </w:rPr>
              <w:t>Güncel altyapı gerçeği</w:t>
            </w:r>
          </w:p>
        </w:tc>
      </w:tr>
      <w:tr>
        <w:tc>
          <w:tcPr>
            <w:tcW w:type="dxa" w:w="2100"/>
            <w:vAlign w:val="center"/>
          </w:tcPr>
          <w:p>
            <w:pPr>
              <w:spacing w:after="0"/>
            </w:pPr>
            <w:r/>
            <w:r>
              <w:rPr>
                <w:rFonts w:ascii="Calibri" w:hAnsi="Calibri"/>
                <w:b w:val="0"/>
                <w:color w:val="333537"/>
                <w:sz w:val="16"/>
              </w:rPr>
              <w:t>Platform Policy Kernel</w:t>
            </w:r>
          </w:p>
        </w:tc>
        <w:tc>
          <w:tcPr>
            <w:tcW w:type="dxa" w:w="7260"/>
            <w:vAlign w:val="center"/>
          </w:tcPr>
          <w:p>
            <w:pPr>
              <w:spacing w:after="0"/>
            </w:pPr>
            <w:r/>
            <w:r>
              <w:rPr>
                <w:rFonts w:ascii="Calibri" w:hAnsi="Calibri"/>
                <w:b w:val="0"/>
                <w:color w:val="333537"/>
                <w:sz w:val="16"/>
              </w:rPr>
              <w:t>Fail-closed merkezi karar; doğrudan rol kontrolü yeni kodda yasak; receipt/UoW/audit/outbox bağları.</w:t>
            </w:r>
          </w:p>
        </w:tc>
      </w:tr>
      <w:tr>
        <w:tc>
          <w:tcPr>
            <w:tcW w:type="dxa" w:w="2100"/>
            <w:vAlign w:val="center"/>
          </w:tcPr>
          <w:p>
            <w:pPr>
              <w:spacing w:after="0"/>
            </w:pPr>
            <w:r/>
            <w:r>
              <w:rPr>
                <w:rFonts w:ascii="Calibri" w:hAnsi="Calibri"/>
                <w:b w:val="0"/>
                <w:color w:val="333537"/>
                <w:sz w:val="16"/>
              </w:rPr>
              <w:t>Windows Desktop</w:t>
            </w:r>
          </w:p>
        </w:tc>
        <w:tc>
          <w:tcPr>
            <w:tcW w:type="dxa" w:w="7260"/>
            <w:vAlign w:val="center"/>
          </w:tcPr>
          <w:p>
            <w:pPr>
              <w:spacing w:after="0"/>
            </w:pPr>
            <w:r/>
            <w:r>
              <w:rPr>
                <w:rFonts w:ascii="Calibri" w:hAnsi="Calibri"/>
                <w:b w:val="0"/>
                <w:color w:val="333537"/>
                <w:sz w:val="16"/>
              </w:rPr>
              <w:t>Electron main güvenlik otoritesi, preload exact bridge, renderer yetkisiz sunum katmanı, korumalı yerel secret/artifact sınırları.</w:t>
            </w:r>
          </w:p>
        </w:tc>
      </w:tr>
      <w:tr>
        <w:tc>
          <w:tcPr>
            <w:tcW w:type="dxa" w:w="2100"/>
            <w:vAlign w:val="center"/>
          </w:tcPr>
          <w:p>
            <w:pPr>
              <w:spacing w:after="0"/>
            </w:pPr>
            <w:r/>
            <w:r>
              <w:rPr>
                <w:rFonts w:ascii="Calibri" w:hAnsi="Calibri"/>
                <w:b w:val="0"/>
                <w:color w:val="333537"/>
                <w:sz w:val="16"/>
              </w:rPr>
              <w:t>Core Service</w:t>
            </w:r>
          </w:p>
        </w:tc>
        <w:tc>
          <w:tcPr>
            <w:tcW w:type="dxa" w:w="7260"/>
            <w:vAlign w:val="center"/>
          </w:tcPr>
          <w:p>
            <w:pPr>
              <w:spacing w:after="0"/>
            </w:pPr>
            <w:r/>
            <w:r>
              <w:rPr>
                <w:rFonts w:ascii="Calibri" w:hAnsi="Calibri"/>
                <w:b w:val="0"/>
                <w:color w:val="333537"/>
                <w:sz w:val="16"/>
              </w:rPr>
              <w:t>Ayrı Electron utility companion süreci, sürümlü typed API, CurrentUser DPAPI korumalı provisioning, her açılışta yeni local named-pipe/token ve içeriksiz lifecycle protokolü; aile verisi/SQLite sahipliği Desktop'ta kalır, Windows Service/cluster kabulü ayrıca gerekir.</w:t>
            </w:r>
          </w:p>
        </w:tc>
      </w:tr>
      <w:tr>
        <w:tc>
          <w:tcPr>
            <w:tcW w:type="dxa" w:w="2100"/>
            <w:vAlign w:val="center"/>
          </w:tcPr>
          <w:p>
            <w:pPr>
              <w:spacing w:after="0"/>
            </w:pPr>
            <w:r/>
            <w:r>
              <w:rPr>
                <w:rFonts w:ascii="Calibri" w:hAnsi="Calibri"/>
                <w:b w:val="0"/>
                <w:color w:val="333537"/>
                <w:sz w:val="16"/>
              </w:rPr>
              <w:t>Veri katmanı</w:t>
            </w:r>
          </w:p>
        </w:tc>
        <w:tc>
          <w:tcPr>
            <w:tcW w:type="dxa" w:w="7260"/>
            <w:vAlign w:val="center"/>
          </w:tcPr>
          <w:p>
            <w:pPr>
              <w:spacing w:after="0"/>
            </w:pPr>
            <w:r/>
            <w:r>
              <w:rPr>
                <w:rFonts w:ascii="Calibri" w:hAnsi="Calibri"/>
                <w:b w:val="0"/>
                <w:color w:val="333537"/>
                <w:sz w:val="16"/>
              </w:rPr>
              <w:t>Şifreli yerel SQLite, migration/trigger/optimistic revision/idempotency, append-only mutation/audit, source-deletion lineage.</w:t>
            </w:r>
          </w:p>
        </w:tc>
      </w:tr>
      <w:tr>
        <w:tc>
          <w:tcPr>
            <w:tcW w:type="dxa" w:w="2100"/>
            <w:vAlign w:val="center"/>
          </w:tcPr>
          <w:p>
            <w:pPr>
              <w:spacing w:after="0"/>
            </w:pPr>
            <w:r/>
            <w:r>
              <w:rPr>
                <w:rFonts w:ascii="Calibri" w:hAnsi="Calibri"/>
                <w:b w:val="0"/>
                <w:color w:val="333537"/>
                <w:sz w:val="16"/>
              </w:rPr>
              <w:t>Kimlik</w:t>
            </w:r>
          </w:p>
        </w:tc>
        <w:tc>
          <w:tcPr>
            <w:tcW w:type="dxa" w:w="7260"/>
            <w:vAlign w:val="center"/>
          </w:tcPr>
          <w:p>
            <w:pPr>
              <w:spacing w:after="0"/>
            </w:pPr>
            <w:r/>
            <w:r>
              <w:rPr>
                <w:rFonts w:ascii="Calibri" w:hAnsi="Calibri"/>
                <w:b w:val="0"/>
                <w:color w:val="333537"/>
                <w:sz w:val="16"/>
              </w:rPr>
              <w:t>Passkey, bounded challenge, lost-key recovery, trusted OIDC+PKCE/JWKS/vault, temporary credential, companion snapshot temelleri.</w:t>
            </w:r>
          </w:p>
        </w:tc>
      </w:tr>
      <w:tr>
        <w:tc>
          <w:tcPr>
            <w:tcW w:type="dxa" w:w="2100"/>
            <w:vAlign w:val="center"/>
          </w:tcPr>
          <w:p>
            <w:pPr>
              <w:spacing w:after="0"/>
            </w:pPr>
            <w:r/>
            <w:r>
              <w:rPr>
                <w:rFonts w:ascii="Calibri" w:hAnsi="Calibri"/>
                <w:b w:val="0"/>
                <w:color w:val="333537"/>
                <w:sz w:val="16"/>
              </w:rPr>
              <w:t>OCR</w:t>
            </w:r>
          </w:p>
        </w:tc>
        <w:tc>
          <w:tcPr>
            <w:tcW w:type="dxa" w:w="7260"/>
            <w:vAlign w:val="center"/>
          </w:tcPr>
          <w:p>
            <w:pPr>
              <w:spacing w:after="0"/>
            </w:pPr>
            <w:r/>
            <w:r>
              <w:rPr>
                <w:rFonts w:ascii="Calibri" w:hAnsi="Calibri"/>
                <w:b w:val="0"/>
                <w:color w:val="333537"/>
                <w:sz w:val="16"/>
              </w:rPr>
              <w:t>PEP-authorized archive read, bounded child process, malware fail-closed, sealed result vault, correction lineage ve purge.</w:t>
            </w:r>
          </w:p>
        </w:tc>
      </w:tr>
      <w:tr>
        <w:tc>
          <w:tcPr>
            <w:tcW w:type="dxa" w:w="2100"/>
            <w:vAlign w:val="center"/>
          </w:tcPr>
          <w:p>
            <w:pPr>
              <w:spacing w:after="0"/>
            </w:pPr>
            <w:r/>
            <w:r>
              <w:rPr>
                <w:rFonts w:ascii="Calibri" w:hAnsi="Calibri"/>
                <w:b w:val="0"/>
                <w:color w:val="333537"/>
                <w:sz w:val="16"/>
              </w:rPr>
              <w:t>İletişim</w:t>
            </w:r>
          </w:p>
        </w:tc>
        <w:tc>
          <w:tcPr>
            <w:tcW w:type="dxa" w:w="7260"/>
            <w:vAlign w:val="center"/>
          </w:tcPr>
          <w:p>
            <w:pPr>
              <w:spacing w:after="0"/>
            </w:pPr>
            <w:r/>
            <w:r>
              <w:rPr>
                <w:rFonts w:ascii="Calibri" w:hAnsi="Calibri"/>
                <w:b w:val="0"/>
                <w:color w:val="333537"/>
                <w:sz w:val="16"/>
              </w:rPr>
              <w:t>MLS/E2EE metadata/payload sınırları, messaging, presence, calling, recording consent, translation, meetings, file sharing, archive audit.</w:t>
            </w:r>
          </w:p>
        </w:tc>
      </w:tr>
      <w:tr>
        <w:tc>
          <w:tcPr>
            <w:tcW w:type="dxa" w:w="2100"/>
            <w:vAlign w:val="center"/>
          </w:tcPr>
          <w:p>
            <w:pPr>
              <w:spacing w:after="0"/>
            </w:pPr>
            <w:r/>
            <w:r>
              <w:rPr>
                <w:rFonts w:ascii="Calibri" w:hAnsi="Calibri"/>
                <w:b w:val="0"/>
                <w:color w:val="333537"/>
                <w:sz w:val="16"/>
              </w:rPr>
              <w:t>Dağıtık platform</w:t>
            </w:r>
          </w:p>
        </w:tc>
        <w:tc>
          <w:tcPr>
            <w:tcW w:type="dxa" w:w="7260"/>
            <w:vAlign w:val="center"/>
          </w:tcPr>
          <w:p>
            <w:pPr>
              <w:spacing w:after="0"/>
            </w:pPr>
            <w:r/>
            <w:r>
              <w:rPr>
                <w:rFonts w:ascii="Calibri" w:hAnsi="Calibri"/>
                <w:b w:val="0"/>
                <w:color w:val="333537"/>
                <w:sz w:val="16"/>
              </w:rPr>
              <w:t>Mutation/consensus/tenancy, distributed clients/operations/DR ve Windows resilience için local hardened foundation.</w:t>
            </w:r>
          </w:p>
        </w:tc>
      </w:tr>
      <w:tr>
        <w:tc>
          <w:tcPr>
            <w:tcW w:type="dxa" w:w="2100"/>
            <w:vAlign w:val="center"/>
          </w:tcPr>
          <w:p>
            <w:pPr>
              <w:spacing w:after="0"/>
            </w:pPr>
            <w:r/>
            <w:r>
              <w:rPr>
                <w:rFonts w:ascii="Calibri" w:hAnsi="Calibri"/>
                <w:b w:val="0"/>
                <w:color w:val="333537"/>
                <w:sz w:val="16"/>
              </w:rPr>
              <w:t>Görsel sistem</w:t>
            </w:r>
          </w:p>
        </w:tc>
        <w:tc>
          <w:tcPr>
            <w:tcW w:type="dxa" w:w="7260"/>
            <w:vAlign w:val="center"/>
          </w:tcPr>
          <w:p>
            <w:pPr>
              <w:spacing w:after="0"/>
            </w:pPr>
            <w:r/>
            <w:r>
              <w:rPr>
                <w:rFonts w:ascii="Calibri" w:hAnsi="Calibri"/>
                <w:b w:val="0"/>
                <w:color w:val="333537"/>
                <w:sz w:val="16"/>
              </w:rPr>
              <w:t>Onaylı sıcak-nötr açık tema, exact release colors, 512 px sıcak-bronz logo, merkezi typography/accessibility tokenları.</w:t>
            </w:r>
          </w:p>
        </w:tc>
      </w:tr>
      <w:tr>
        <w:tc>
          <w:tcPr>
            <w:tcW w:type="dxa" w:w="2100"/>
            <w:vAlign w:val="center"/>
          </w:tcPr>
          <w:p>
            <w:pPr>
              <w:spacing w:after="0"/>
            </w:pPr>
            <w:r/>
            <w:r>
              <w:rPr>
                <w:rFonts w:ascii="Calibri" w:hAnsi="Calibri"/>
                <w:b w:val="0"/>
                <w:color w:val="333537"/>
                <w:sz w:val="16"/>
              </w:rPr>
              <w:t>Belge yönetişimi</w:t>
            </w:r>
          </w:p>
        </w:tc>
        <w:tc>
          <w:tcPr>
            <w:tcW w:type="dxa" w:w="7260"/>
            <w:vAlign w:val="center"/>
          </w:tcPr>
          <w:p>
            <w:pPr>
              <w:spacing w:after="0"/>
            </w:pPr>
            <w:r/>
            <w:r>
              <w:rPr>
                <w:rFonts w:ascii="Calibri" w:hAnsi="Calibri"/>
                <w:b w:val="0"/>
                <w:color w:val="333537"/>
                <w:sz w:val="16"/>
              </w:rPr>
              <w:t>DEC-251 eşzamanlı karar-belge-iş listesi kapısı; tüm belge türü hash/okunabilirlik denetimi; tarihsel kayıtların değişmezliği.</w:t>
            </w:r>
          </w:p>
        </w:tc>
      </w:tr>
    </w:tbl>
    <w:p>
      <w:r>
        <w:br w:type="page"/>
      </w:r>
    </w:p>
    <w:p>
      <w:pPr>
        <w:pStyle w:val="Heading1"/>
        <w:keepNext/>
      </w:pPr>
      <w:r>
        <w:t>5. Bağlayıcı iş akışları</w:t>
      </w:r>
    </w:p>
    <w:p>
      <w:pPr>
        <w:pStyle w:val="Heading2"/>
        <w:keepNext/>
      </w:pPr>
      <w:r>
        <w:t>Karar ve kural değişikliği</w:t>
      </w:r>
    </w:p>
    <w:p>
      <w:pPr>
        <w:spacing w:after="120" w:line="300" w:lineRule="auto"/>
      </w:pPr>
      <w:r>
        <w:rPr>
          <w:rFonts w:ascii="Calibri" w:hAnsi="Calibri"/>
          <w:i w:val="0"/>
        </w:rPr>
        <w:t>Açık kullanıcı kararı → aynı değişiklikte DEC kaydı + makine defteri + etkilenen aktif belgeler + iş listesi açık/kapalı/neden alanları → etki analizi → gerekiyorsa kanonik kural/scope ve kod → doğrulama → indeks/master DOCX/PDF. Eşzamanlılık eksikse karar veya iş tamamlandı sayılamaz; sessiz istisna ve waiver yoktur.</w:t>
      </w:r>
    </w:p>
    <w:p>
      <w:pPr>
        <w:pStyle w:val="Heading2"/>
        <w:keepNext/>
      </w:pPr>
      <w:r>
        <w:t>Paket yürütme</w:t>
      </w:r>
    </w:p>
    <w:p>
      <w:pPr>
        <w:spacing w:after="120" w:line="300" w:lineRule="auto"/>
      </w:pPr>
      <w:r>
        <w:rPr>
          <w:rFonts w:ascii="Calibri" w:hAnsi="Calibri"/>
          <w:i w:val="0"/>
        </w:rPr>
        <w:t>Aynı anda tek paket/adım IN_PROGRESS olabilir. Paket, yerel PASS üretse bile dış ve manuel kabul kanıtı eksikse açık kalır. Sonraki paketin başlaması, öncekinin kalıcı receipt ve kabul koşullarına bağlıdır.</w:t>
      </w:r>
    </w:p>
    <w:p>
      <w:pPr>
        <w:pStyle w:val="Heading2"/>
        <w:keepNext/>
      </w:pPr>
      <w:r>
        <w:t>Yetkilendirilmiş işlem</w:t>
      </w:r>
    </w:p>
    <w:p>
      <w:pPr>
        <w:spacing w:after="120" w:line="300" w:lineRule="auto"/>
      </w:pPr>
      <w:r>
        <w:rPr>
          <w:rFonts w:ascii="Calibri" w:hAnsi="Calibri"/>
          <w:i w:val="0"/>
        </w:rPr>
        <w:t>Oturum kimliği + hesap + kişi + aile + cihaz + güvenlik epoch + amaç + kaynak + hassasiyet merkezi PEP tarafından değerlendirilir; receipt/UoW/optimistic revision/audit/outbox aynı yönetilen işlem sınırında korunur.</w:t>
      </w:r>
    </w:p>
    <w:p>
      <w:pPr>
        <w:pStyle w:val="Heading2"/>
        <w:keepNext/>
      </w:pPr>
      <w:r>
        <w:t>Veri yaşam döngüsü</w:t>
      </w:r>
    </w:p>
    <w:p>
      <w:pPr>
        <w:spacing w:after="120" w:line="300" w:lineRule="auto"/>
      </w:pPr>
      <w:r>
        <w:rPr>
          <w:rFonts w:ascii="Calibri" w:hAnsi="Calibri"/>
          <w:i w:val="0"/>
        </w:rPr>
        <w:t>Kaynak sınıflandırma → sahiplik ve saklama → erişim/işleme gözlemi → türetilmiş veri mirası → geri alınabilir silme → kaynak silme yayılımı → içeriksiz tombstone → yedek/haricî kopya için açık risk. Fiziksel güvenli silme garantisi verilmez.</w:t>
      </w:r>
    </w:p>
    <w:p>
      <w:pPr>
        <w:pStyle w:val="Heading2"/>
        <w:keepNext/>
      </w:pPr>
      <w:r>
        <w:t>Kimlik ve cihaz</w:t>
      </w:r>
    </w:p>
    <w:p>
      <w:pPr>
        <w:spacing w:after="120" w:line="300" w:lineRule="auto"/>
      </w:pPr>
      <w:r>
        <w:rPr>
          <w:rFonts w:ascii="Calibri" w:hAnsi="Calibri"/>
          <w:i w:val="0"/>
        </w:rPr>
        <w:t>Passkey challenge ve doğrulama → cihaz/epoch bağlama → kayıp anahtar kurtarma → yerel oturum iptali. Federated kimlik yalnız yapılandırılmış ve güvenilen sağlayıcı/JWKS/ağ zinciriyle görünür; gerçek sağlayıcı testi yoksa PASS yoktur.</w:t>
      </w:r>
    </w:p>
    <w:p>
      <w:pPr>
        <w:pStyle w:val="Heading2"/>
        <w:keepNext/>
      </w:pPr>
      <w:r>
        <w:t>Yerel OCR</w:t>
      </w:r>
    </w:p>
    <w:p>
      <w:pPr>
        <w:spacing w:after="120" w:line="300" w:lineRule="auto"/>
      </w:pPr>
      <w:r>
        <w:rPr>
          <w:rFonts w:ascii="Calibri" w:hAnsi="Calibri"/>
          <w:i w:val="0"/>
        </w:rPr>
        <w:t>Archive kaynağı PEP + ayrı hassas işleme rızası → main-only byte okuma → bounded child process → malware kapısı → sealed sonuç kasası → düzeltme/rerun lineage → source deletion propagation. PDF/malware/low privilege eksikleri fail-closed kalır.</w:t>
      </w:r>
    </w:p>
    <w:p>
      <w:pPr>
        <w:pStyle w:val="Heading2"/>
        <w:keepNext/>
      </w:pPr>
      <w:r>
        <w:t>İletişim</w:t>
      </w:r>
    </w:p>
    <w:p>
      <w:pPr>
        <w:spacing w:after="120" w:line="300" w:lineRule="auto"/>
      </w:pPr>
      <w:r>
        <w:rPr>
          <w:rFonts w:ascii="Calibri" w:hAnsi="Calibri"/>
          <w:i w:val="0"/>
        </w:rPr>
        <w:t>Kimlik/politika → MLS/E2EE oturum → içerikten ayrı audit → mesaj/dosya yaşam döngüsü → çağrı preflight → açık kayıt rızası → medya retention → çeviri/altyazı. Gerçek provider/cihaz/ağ UAT olmadan üretim iddiası yoktur.</w:t>
      </w:r>
    </w:p>
    <w:p>
      <w:pPr>
        <w:pStyle w:val="Heading2"/>
        <w:keepNext/>
      </w:pPr>
      <w:r>
        <w:t>Dağıtık çalışma</w:t>
      </w:r>
    </w:p>
    <w:p>
      <w:pPr>
        <w:spacing w:after="120" w:line="300" w:lineRule="auto"/>
      </w:pPr>
      <w:r>
        <w:rPr>
          <w:rFonts w:ascii="Calibri" w:hAnsi="Calibri"/>
          <w:i w:val="0"/>
        </w:rPr>
        <w:t>Windows tek-yazar yerel veri otoritesi → mutation log → node kimliği/mTLS → quorum/witness → snapshot/failover → istemci API/cache → operasyon ve DR. Yerel simülasyon gerçek çoklu node kanıtı değildir.</w:t>
      </w:r>
    </w:p>
    <w:p>
      <w:pPr>
        <w:pStyle w:val="Heading2"/>
        <w:keepNext/>
      </w:pPr>
      <w:r>
        <w:t>Windows teslim</w:t>
      </w:r>
    </w:p>
    <w:p>
      <w:pPr>
        <w:spacing w:after="120" w:line="300" w:lineRule="auto"/>
      </w:pPr>
      <w:r>
        <w:rPr>
          <w:rFonts w:ascii="Calibri" w:hAnsi="Calibri"/>
          <w:i w:val="0"/>
        </w:rPr>
        <w:t>Governed preflight → typecheck/test/build → Electron fuse/ASAR doğrulama → imzalama/provenance → installer → kurulu uygulama açılışı → update/rollback → uninstall/residue → postflight. Sertifika veya lifecycle UAT eksikse dağıtım hazır sayılmaz.</w:t>
      </w:r>
    </w:p>
    <w:p>
      <w:pPr>
        <w:pStyle w:val="Heading2"/>
        <w:keepNext/>
      </w:pPr>
      <w:r>
        <w:t>Belge güncelleme</w:t>
      </w:r>
    </w:p>
    <w:p>
      <w:pPr>
        <w:spacing w:after="120" w:line="300" w:lineRule="auto"/>
      </w:pPr>
      <w:r>
        <w:rPr>
          <w:rFonts w:ascii="Calibri" w:hAnsi="Calibri"/>
          <w:i w:val="0"/>
        </w:rPr>
        <w:t>Canlı kaynak ve JSON sicilleri taranır → açık/kapalı/neden matrisi güncellenir → Markdown tek kaynak oluşturulur → DOCX/PDF aynı veriden üretilir → bütün sayfalar render edilir → hash manifesti yenilenir → tarihsel belgeler korunur.</w:t>
      </w:r>
    </w:p>
    <w:p>
      <w:r>
        <w:br w:type="page"/>
      </w:r>
    </w:p>
    <w:p>
      <w:pPr>
        <w:pStyle w:val="Heading1"/>
        <w:keepNext/>
      </w:pPr>
      <w:r>
        <w:t>6. Paket iş listesi — açık/kapalı/neden</w:t>
      </w:r>
    </w:p>
    <w:p>
      <w:pPr>
        <w:spacing w:after="120" w:line="300" w:lineRule="auto"/>
      </w:pPr>
      <w:r>
        <w:rPr>
          <w:rFonts w:ascii="Calibri" w:hAnsi="Calibri"/>
          <w:i w:val="0"/>
        </w:rPr>
        <w:t>Kullanıcı kuralı gereği her açık paket; yerel olarak neyin bulunduğunu, neden açık kaldığını, eksik kanıtı ve requirement PASS sayılıp sayılmadığını birlikte gösterir.</w:t>
      </w:r>
    </w:p>
    <w:tbl>
      <w:tblPr>
        <w:tblStyle w:val="TableGrid"/>
        <w:tblW w:type="dxa" w:w="9360"/>
        <w:jc w:val="center"/>
        <w:tblLayout w:type="fixed"/>
        <w:tblLook w:firstColumn="1" w:firstRow="1" w:lastColumn="0" w:lastRow="0" w:noHBand="0" w:noVBand="1" w:val="04A0"/>
      </w:tblPr>
      <w:tblGrid>
        <w:gridCol w:w="650"/>
        <w:gridCol w:w="1050"/>
        <w:gridCol w:w="1700"/>
        <w:gridCol w:w="650"/>
        <w:gridCol w:w="5310"/>
      </w:tblGrid>
      <w:tr>
        <w:tc>
          <w:tcPr>
            <w:tcW w:type="dxa" w:w="650"/>
            <w:shd w:fill="7C4D20"/>
            <w:vAlign w:val="center"/>
          </w:tcPr>
          <w:p>
            <w:pPr>
              <w:spacing w:after="0"/>
            </w:pPr>
            <w:r/>
            <w:r>
              <w:rPr>
                <w:rFonts w:ascii="Calibri" w:hAnsi="Calibri"/>
                <w:b/>
                <w:color w:val="FFFFFF"/>
                <w:sz w:val="13"/>
              </w:rPr>
              <w:t>Paket</w:t>
            </w:r>
          </w:p>
        </w:tc>
        <w:tc>
          <w:tcPr>
            <w:tcW w:type="dxa" w:w="1050"/>
            <w:shd w:fill="7C4D20"/>
            <w:vAlign w:val="center"/>
          </w:tcPr>
          <w:p>
            <w:pPr>
              <w:spacing w:after="0"/>
            </w:pPr>
            <w:r/>
            <w:r>
              <w:rPr>
                <w:rFonts w:ascii="Calibri" w:hAnsi="Calibri"/>
                <w:b/>
                <w:color w:val="FFFFFF"/>
                <w:sz w:val="13"/>
              </w:rPr>
              <w:t>Resmî</w:t>
            </w:r>
          </w:p>
        </w:tc>
        <w:tc>
          <w:tcPr>
            <w:tcW w:type="dxa" w:w="1700"/>
            <w:shd w:fill="7C4D20"/>
            <w:vAlign w:val="center"/>
          </w:tcPr>
          <w:p>
            <w:pPr>
              <w:spacing w:after="0"/>
            </w:pPr>
            <w:r/>
            <w:r>
              <w:rPr>
                <w:rFonts w:ascii="Calibri" w:hAnsi="Calibri"/>
                <w:b/>
                <w:color w:val="FFFFFF"/>
                <w:sz w:val="13"/>
              </w:rPr>
              <w:t>Yerel</w:t>
            </w:r>
          </w:p>
        </w:tc>
        <w:tc>
          <w:tcPr>
            <w:tcW w:type="dxa" w:w="650"/>
            <w:shd w:fill="7C4D20"/>
            <w:vAlign w:val="center"/>
          </w:tcPr>
          <w:p>
            <w:pPr>
              <w:spacing w:after="0"/>
            </w:pPr>
            <w:r/>
            <w:r>
              <w:rPr>
                <w:rFonts w:ascii="Calibri" w:hAnsi="Calibri"/>
                <w:b/>
                <w:color w:val="FFFFFF"/>
                <w:sz w:val="13"/>
              </w:rPr>
              <w:t>PASS</w:t>
            </w:r>
          </w:p>
        </w:tc>
        <w:tc>
          <w:tcPr>
            <w:tcW w:type="dxa" w:w="5310"/>
            <w:shd w:fill="7C4D20"/>
            <w:vAlign w:val="center"/>
          </w:tcPr>
          <w:p>
            <w:pPr>
              <w:spacing w:after="0"/>
            </w:pPr>
            <w:r/>
            <w:r>
              <w:rPr>
                <w:rFonts w:ascii="Calibri" w:hAnsi="Calibri"/>
                <w:b/>
                <w:color w:val="FFFFFF"/>
                <w:sz w:val="13"/>
              </w:rPr>
              <w:t>Açık kalma nedeni</w:t>
            </w:r>
          </w:p>
        </w:tc>
      </w:tr>
      <w:tr>
        <w:tc>
          <w:tcPr>
            <w:tcW w:type="dxa" w:w="650"/>
            <w:vAlign w:val="center"/>
          </w:tcPr>
          <w:p>
            <w:pPr>
              <w:spacing w:after="0"/>
            </w:pPr>
            <w:r/>
            <w:r>
              <w:rPr>
                <w:rFonts w:ascii="Calibri" w:hAnsi="Calibri"/>
                <w:b w:val="0"/>
                <w:color w:val="333537"/>
                <w:sz w:val="13"/>
              </w:rPr>
              <w:t>33-M</w:t>
            </w:r>
          </w:p>
        </w:tc>
        <w:tc>
          <w:tcPr>
            <w:tcW w:type="dxa" w:w="1050"/>
            <w:vAlign w:val="center"/>
          </w:tcPr>
          <w:p>
            <w:pPr>
              <w:spacing w:after="0"/>
            </w:pPr>
            <w:r/>
            <w:r>
              <w:rPr>
                <w:rFonts w:ascii="Calibri" w:hAnsi="Calibri"/>
                <w:b w:val="0"/>
                <w:color w:val="333537"/>
                <w:sz w:val="13"/>
              </w:rPr>
              <w:t>COMPLETED</w:t>
            </w:r>
          </w:p>
        </w:tc>
        <w:tc>
          <w:tcPr>
            <w:tcW w:type="dxa" w:w="1700"/>
            <w:vAlign w:val="center"/>
          </w:tcPr>
          <w:p>
            <w:pPr>
              <w:spacing w:after="0"/>
            </w:pPr>
            <w:r/>
            <w:r>
              <w:rPr>
                <w:rFonts w:ascii="Calibri" w:hAnsi="Calibri"/>
                <w:b w:val="0"/>
                <w:color w:val="333537"/>
                <w:sz w:val="13"/>
              </w:rPr>
              <w:t>ACCEPTED_COMPLETED_WITH_PERSISTENT_RECEIPT</w:t>
            </w:r>
          </w:p>
        </w:tc>
        <w:tc>
          <w:tcPr>
            <w:tcW w:type="dxa" w:w="650"/>
            <w:vAlign w:val="center"/>
          </w:tcPr>
          <w:p>
            <w:pPr>
              <w:spacing w:after="0"/>
            </w:pPr>
            <w:r/>
            <w:r>
              <w:rPr>
                <w:rFonts w:ascii="Calibri" w:hAnsi="Calibri"/>
                <w:b w:val="0"/>
                <w:color w:val="333537"/>
                <w:sz w:val="13"/>
              </w:rPr>
              <w:t>EVET</w:t>
            </w:r>
          </w:p>
        </w:tc>
        <w:tc>
          <w:tcPr>
            <w:tcW w:type="dxa" w:w="5310"/>
            <w:vAlign w:val="center"/>
          </w:tcPr>
          <w:p>
            <w:pPr>
              <w:spacing w:after="0"/>
            </w:pPr>
            <w:r/>
            <w:r>
              <w:rPr>
                <w:rFonts w:ascii="Calibri" w:hAnsi="Calibri"/>
                <w:b w:val="0"/>
                <w:color w:val="333537"/>
                <w:sz w:val="13"/>
              </w:rPr>
              <w:t>Kapalı: erişilebilirlik tercih merkezi için yerel zincir, doğrulama ve kalıcı kabul receipti tamamlandı.</w:t>
            </w:r>
          </w:p>
        </w:tc>
      </w:tr>
      <w:tr>
        <w:tc>
          <w:tcPr>
            <w:tcW w:type="dxa" w:w="650"/>
            <w:vAlign w:val="center"/>
          </w:tcPr>
          <w:p>
            <w:pPr>
              <w:spacing w:after="0"/>
            </w:pPr>
            <w:r/>
            <w:r>
              <w:rPr>
                <w:rFonts w:ascii="Calibri" w:hAnsi="Calibri"/>
                <w:b w:val="0"/>
                <w:color w:val="333537"/>
                <w:sz w:val="13"/>
              </w:rPr>
              <w:t>33-N</w:t>
            </w:r>
          </w:p>
        </w:tc>
        <w:tc>
          <w:tcPr>
            <w:tcW w:type="dxa" w:w="1050"/>
            <w:vAlign w:val="center"/>
          </w:tcPr>
          <w:p>
            <w:pPr>
              <w:spacing w:after="0"/>
            </w:pPr>
            <w:r/>
            <w:r>
              <w:rPr>
                <w:rFonts w:ascii="Calibri" w:hAnsi="Calibri"/>
                <w:b w:val="0"/>
                <w:color w:val="333537"/>
                <w:sz w:val="13"/>
              </w:rPr>
              <w:t>COMPLETED</w:t>
            </w:r>
          </w:p>
        </w:tc>
        <w:tc>
          <w:tcPr>
            <w:tcW w:type="dxa" w:w="1700"/>
            <w:vAlign w:val="center"/>
          </w:tcPr>
          <w:p>
            <w:pPr>
              <w:spacing w:after="0"/>
            </w:pPr>
            <w:r/>
            <w:r>
              <w:rPr>
                <w:rFonts w:ascii="Calibri" w:hAnsi="Calibri"/>
                <w:b w:val="0"/>
                <w:color w:val="333537"/>
                <w:sz w:val="13"/>
              </w:rPr>
              <w:t>ACCEPTED_COMPLETED_WITH_PERSISTENT_RECEIPT</w:t>
            </w:r>
          </w:p>
        </w:tc>
        <w:tc>
          <w:tcPr>
            <w:tcW w:type="dxa" w:w="650"/>
            <w:vAlign w:val="center"/>
          </w:tcPr>
          <w:p>
            <w:pPr>
              <w:spacing w:after="0"/>
            </w:pPr>
            <w:r/>
            <w:r>
              <w:rPr>
                <w:rFonts w:ascii="Calibri" w:hAnsi="Calibri"/>
                <w:b w:val="0"/>
                <w:color w:val="333537"/>
                <w:sz w:val="13"/>
              </w:rPr>
              <w:t>EVET</w:t>
            </w:r>
          </w:p>
        </w:tc>
        <w:tc>
          <w:tcPr>
            <w:tcW w:type="dxa" w:w="5310"/>
            <w:vAlign w:val="center"/>
          </w:tcPr>
          <w:p>
            <w:pPr>
              <w:spacing w:after="0"/>
            </w:pPr>
            <w:r/>
            <w:r>
              <w:rPr>
                <w:rFonts w:ascii="Calibri" w:hAnsi="Calibri"/>
                <w:b w:val="0"/>
                <w:color w:val="333537"/>
                <w:sz w:val="13"/>
              </w:rPr>
              <w:t>Kapalı: taslak ve asenkron durum UX paketi için yerel zincir, doğrulama ve kalıcı kabul receipti tamamlandı.</w:t>
            </w:r>
          </w:p>
        </w:tc>
      </w:tr>
      <w:tr>
        <w:tc>
          <w:tcPr>
            <w:tcW w:type="dxa" w:w="650"/>
            <w:vAlign w:val="center"/>
          </w:tcPr>
          <w:p>
            <w:pPr>
              <w:spacing w:after="0"/>
            </w:pPr>
            <w:r/>
            <w:r>
              <w:rPr>
                <w:rFonts w:ascii="Calibri" w:hAnsi="Calibri"/>
                <w:b w:val="0"/>
                <w:color w:val="333537"/>
                <w:sz w:val="13"/>
              </w:rPr>
              <w:t>33-O</w:t>
            </w:r>
          </w:p>
        </w:tc>
        <w:tc>
          <w:tcPr>
            <w:tcW w:type="dxa" w:w="1050"/>
            <w:vAlign w:val="center"/>
          </w:tcPr>
          <w:p>
            <w:pPr>
              <w:spacing w:after="0"/>
            </w:pPr>
            <w:r/>
            <w:r>
              <w:rPr>
                <w:rFonts w:ascii="Calibri" w:hAnsi="Calibri"/>
                <w:b w:val="0"/>
                <w:color w:val="333537"/>
                <w:sz w:val="13"/>
              </w:rPr>
              <w:t>COMPLETED</w:t>
            </w:r>
          </w:p>
        </w:tc>
        <w:tc>
          <w:tcPr>
            <w:tcW w:type="dxa" w:w="1700"/>
            <w:vAlign w:val="center"/>
          </w:tcPr>
          <w:p>
            <w:pPr>
              <w:spacing w:after="0"/>
            </w:pPr>
            <w:r/>
            <w:r>
              <w:rPr>
                <w:rFonts w:ascii="Calibri" w:hAnsi="Calibri"/>
                <w:b w:val="0"/>
                <w:color w:val="333537"/>
                <w:sz w:val="13"/>
              </w:rPr>
              <w:t>ACCEPTED_COMPLETED_WITH_PERSISTENT_RECEIPT</w:t>
            </w:r>
          </w:p>
        </w:tc>
        <w:tc>
          <w:tcPr>
            <w:tcW w:type="dxa" w:w="650"/>
            <w:vAlign w:val="center"/>
          </w:tcPr>
          <w:p>
            <w:pPr>
              <w:spacing w:after="0"/>
            </w:pPr>
            <w:r/>
            <w:r>
              <w:rPr>
                <w:rFonts w:ascii="Calibri" w:hAnsi="Calibri"/>
                <w:b w:val="0"/>
                <w:color w:val="333537"/>
                <w:sz w:val="13"/>
              </w:rPr>
              <w:t>EVET</w:t>
            </w:r>
          </w:p>
        </w:tc>
        <w:tc>
          <w:tcPr>
            <w:tcW w:type="dxa" w:w="5310"/>
            <w:vAlign w:val="center"/>
          </w:tcPr>
          <w:p>
            <w:pPr>
              <w:spacing w:after="0"/>
            </w:pPr>
            <w:r/>
            <w:r>
              <w:rPr>
                <w:rFonts w:ascii="Calibri" w:hAnsi="Calibri"/>
                <w:b w:val="0"/>
                <w:color w:val="333537"/>
                <w:sz w:val="13"/>
              </w:rPr>
              <w:t>Kapalı: gizlilik, sahiplik, veri hakları ve yerel olay kontrol paketi için yerel zincir, doğrulama ve kalıcı kabul receipti tamamlandı.</w:t>
            </w:r>
          </w:p>
        </w:tc>
      </w:tr>
      <w:tr>
        <w:tc>
          <w:tcPr>
            <w:tcW w:type="dxa" w:w="650"/>
            <w:vAlign w:val="center"/>
          </w:tcPr>
          <w:p>
            <w:pPr>
              <w:spacing w:after="0"/>
            </w:pPr>
            <w:r/>
            <w:r>
              <w:rPr>
                <w:rFonts w:ascii="Calibri" w:hAnsi="Calibri"/>
                <w:b w:val="0"/>
                <w:color w:val="333537"/>
                <w:sz w:val="13"/>
              </w:rPr>
              <w:t>33-P</w:t>
            </w:r>
          </w:p>
        </w:tc>
        <w:tc>
          <w:tcPr>
            <w:tcW w:type="dxa" w:w="1050"/>
            <w:vAlign w:val="center"/>
          </w:tcPr>
          <w:p>
            <w:pPr>
              <w:spacing w:after="0"/>
            </w:pPr>
            <w:r/>
            <w:r>
              <w:rPr>
                <w:rFonts w:ascii="Calibri" w:hAnsi="Calibri"/>
                <w:b w:val="0"/>
                <w:color w:val="333537"/>
                <w:sz w:val="13"/>
              </w:rPr>
              <w:t>IN_PROGRESS</w:t>
            </w:r>
          </w:p>
        </w:tc>
        <w:tc>
          <w:tcPr>
            <w:tcW w:type="dxa" w:w="1700"/>
            <w:vAlign w:val="center"/>
          </w:tcPr>
          <w:p>
            <w:pPr>
              <w:spacing w:after="0"/>
            </w:pPr>
            <w:r/>
            <w:r>
              <w:rPr>
                <w:rFonts w:ascii="Calibri" w:hAnsi="Calibri"/>
                <w:b w:val="0"/>
                <w:color w:val="333537"/>
                <w:sz w:val="13"/>
              </w:rPr>
              <w:t>IMPLEMENTED_LOCAL_AUTOMATED</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passkey/authenticator, canlı ve güvenilen federated kimlik sağlayıcısı, cross-device doğrulama, insan UAT ile gizlilik/kimlik incelemeleri tamamlanmadı.</w:t>
            </w:r>
          </w:p>
        </w:tc>
      </w:tr>
      <w:tr>
        <w:tc>
          <w:tcPr>
            <w:tcW w:type="dxa" w:w="650"/>
            <w:vAlign w:val="center"/>
          </w:tcPr>
          <w:p>
            <w:pPr>
              <w:spacing w:after="0"/>
            </w:pPr>
            <w:r/>
            <w:r>
              <w:rPr>
                <w:rFonts w:ascii="Calibri" w:hAnsi="Calibri"/>
                <w:b w:val="0"/>
                <w:color w:val="333537"/>
                <w:sz w:val="13"/>
              </w:rPr>
              <w:t>33-Q</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Varsayılan malware/PDF sağlayıcısı, düşük-yetkili worker izolasyonu, çalışan işi eşzamanlı iptal, kaynak silme crash auto-resume, zamanlanmış orphan/retention sweep ve gerçek Windows UAT tamamlanmadı.</w:t>
            </w:r>
          </w:p>
        </w:tc>
      </w:tr>
      <w:tr>
        <w:tc>
          <w:tcPr>
            <w:tcW w:type="dxa" w:w="650"/>
            <w:vAlign w:val="center"/>
          </w:tcPr>
          <w:p>
            <w:pPr>
              <w:spacing w:after="0"/>
            </w:pPr>
            <w:r/>
            <w:r>
              <w:rPr>
                <w:rFonts w:ascii="Calibri" w:hAnsi="Calibri"/>
                <w:b w:val="0"/>
                <w:color w:val="333537"/>
                <w:sz w:val="13"/>
              </w:rPr>
              <w:t>33-R</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büyük arşiv, medya yaşam döngüsü, arama doğruluğu/performansı ve kullanıcı UAT kanıtları tamamlanmadı.</w:t>
            </w:r>
          </w:p>
        </w:tc>
      </w:tr>
      <w:tr>
        <w:tc>
          <w:tcPr>
            <w:tcW w:type="dxa" w:w="650"/>
            <w:vAlign w:val="center"/>
          </w:tcPr>
          <w:p>
            <w:pPr>
              <w:spacing w:after="0"/>
            </w:pPr>
            <w:r/>
            <w:r>
              <w:rPr>
                <w:rFonts w:ascii="Calibri" w:hAnsi="Calibri"/>
                <w:b w:val="0"/>
                <w:color w:val="333537"/>
                <w:sz w:val="13"/>
              </w:rPr>
              <w:t>33-S</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sağlık/bakım sağlayıcıları, cihaz akışları, klinik doğruluk ve hukuk-gizlilik incelemesi tamamlanmadı.</w:t>
            </w:r>
          </w:p>
        </w:tc>
      </w:tr>
      <w:tr>
        <w:tc>
          <w:tcPr>
            <w:tcW w:type="dxa" w:w="650"/>
            <w:vAlign w:val="center"/>
          </w:tcPr>
          <w:p>
            <w:pPr>
              <w:spacing w:after="0"/>
            </w:pPr>
            <w:r/>
            <w:r>
              <w:rPr>
                <w:rFonts w:ascii="Calibri" w:hAnsi="Calibri"/>
                <w:b w:val="0"/>
                <w:color w:val="333537"/>
                <w:sz w:val="13"/>
              </w:rPr>
              <w:t>33-T</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hane verisi, uzun süreli görev/teslimat akışı ve farklı kullanıcı profilleriyle UAT tamamlanmadı.</w:t>
            </w:r>
          </w:p>
        </w:tc>
      </w:tr>
      <w:tr>
        <w:tc>
          <w:tcPr>
            <w:tcW w:type="dxa" w:w="650"/>
            <w:vAlign w:val="center"/>
          </w:tcPr>
          <w:p>
            <w:pPr>
              <w:spacing w:after="0"/>
            </w:pPr>
            <w:r/>
            <w:r>
              <w:rPr>
                <w:rFonts w:ascii="Calibri" w:hAnsi="Calibri"/>
                <w:b w:val="0"/>
                <w:color w:val="333537"/>
                <w:sz w:val="13"/>
              </w:rPr>
              <w:t>33-U</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Çocuk/veli mahremiyeti, okul/servis sağlayıcısı, yaşa uygun açıklama ve hukuk-gizlilik/UAT kanıtı tamamlanmadı.</w:t>
            </w:r>
          </w:p>
        </w:tc>
      </w:tr>
      <w:tr>
        <w:tc>
          <w:tcPr>
            <w:tcW w:type="dxa" w:w="650"/>
            <w:vAlign w:val="center"/>
          </w:tcPr>
          <w:p>
            <w:pPr>
              <w:spacing w:after="0"/>
            </w:pPr>
            <w:r/>
            <w:r>
              <w:rPr>
                <w:rFonts w:ascii="Calibri" w:hAnsi="Calibri"/>
                <w:b w:val="0"/>
                <w:color w:val="333537"/>
                <w:sz w:val="13"/>
              </w:rPr>
              <w:t>33-V</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harita, seyahat, araç/evcil hayvan sağlayıcıları, çevrimdışı saha akışı ve UAT tamamlanmadı.</w:t>
            </w:r>
          </w:p>
        </w:tc>
      </w:tr>
      <w:tr>
        <w:tc>
          <w:tcPr>
            <w:tcW w:type="dxa" w:w="650"/>
            <w:vAlign w:val="center"/>
          </w:tcPr>
          <w:p>
            <w:pPr>
              <w:spacing w:after="0"/>
            </w:pPr>
            <w:r/>
            <w:r>
              <w:rPr>
                <w:rFonts w:ascii="Calibri" w:hAnsi="Calibri"/>
                <w:b w:val="0"/>
                <w:color w:val="333537"/>
                <w:sz w:val="13"/>
              </w:rPr>
              <w:t>33-W</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AI sağlayıcısı, model/veri sözleşmesi, maliyet-mahremiyet sınırı, güvenlik değerlendirmesi ve insan UAT tamamlanmadı.</w:t>
            </w:r>
          </w:p>
        </w:tc>
      </w:tr>
      <w:tr>
        <w:tc>
          <w:tcPr>
            <w:tcW w:type="dxa" w:w="650"/>
            <w:vAlign w:val="center"/>
          </w:tcPr>
          <w:p>
            <w:pPr>
              <w:spacing w:after="0"/>
            </w:pPr>
            <w:r/>
            <w:r>
              <w:rPr>
                <w:rFonts w:ascii="Calibri" w:hAnsi="Calibri"/>
                <w:b w:val="0"/>
                <w:color w:val="333537"/>
                <w:sz w:val="13"/>
              </w:rPr>
              <w:t>33-X</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ses/transkript, yüz gruplama, basılı çıktı, zaman kapsülü rıza akışı ve insan UAT tamamlanmadı.</w:t>
            </w:r>
          </w:p>
        </w:tc>
      </w:tr>
      <w:tr>
        <w:tc>
          <w:tcPr>
            <w:tcW w:type="dxa" w:w="650"/>
            <w:vAlign w:val="center"/>
          </w:tcPr>
          <w:p>
            <w:pPr>
              <w:spacing w:after="0"/>
            </w:pPr>
            <w:r/>
            <w:r>
              <w:rPr>
                <w:rFonts w:ascii="Calibri" w:hAnsi="Calibri"/>
                <w:b w:val="0"/>
                <w:color w:val="333537"/>
                <w:sz w:val="13"/>
              </w:rPr>
              <w:t>33-Y</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Matter/enerji cihazları, üretici adaptörleri, güvenlik/safety değerlendirmesi ve saha UAT tamamlanmadı.</w:t>
            </w:r>
          </w:p>
        </w:tc>
      </w:tr>
      <w:tr>
        <w:tc>
          <w:tcPr>
            <w:tcW w:type="dxa" w:w="650"/>
            <w:vAlign w:val="center"/>
          </w:tcPr>
          <w:p>
            <w:pPr>
              <w:spacing w:after="0"/>
            </w:pPr>
            <w:r/>
            <w:r>
              <w:rPr>
                <w:rFonts w:ascii="Calibri" w:hAnsi="Calibri"/>
                <w:b w:val="0"/>
                <w:color w:val="333537"/>
                <w:sz w:val="13"/>
              </w:rPr>
              <w:t>33-Z</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PARTIAL_LOCAL_CANDIDATE_REGISTRY_COMPOSED_ACCEPTANCE_INCOMPLETE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Üretim kod imzalama sertifikası, gerçek eklenti sağlayıcıları, dağıtım/rollback ve güven zinciri kanıtı tamamlanmadı.</w:t>
            </w:r>
          </w:p>
        </w:tc>
      </w:tr>
      <w:tr>
        <w:tc>
          <w:tcPr>
            <w:tcW w:type="dxa" w:w="650"/>
            <w:vAlign w:val="center"/>
          </w:tcPr>
          <w:p>
            <w:pPr>
              <w:spacing w:after="0"/>
            </w:pPr>
            <w:r/>
            <w:r>
              <w:rPr>
                <w:rFonts w:ascii="Calibri" w:hAnsi="Calibri"/>
                <w:b w:val="0"/>
                <w:color w:val="333537"/>
                <w:sz w:val="13"/>
              </w:rPr>
              <w:t>34-A</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PARTIAL_LOCAL_POLICY_METADATA_FOUNDATION_COMPOSED_ACCEPTANCE_INCOMPLETE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MLS sağlayıcısı, çoklu istemci birlikte çalışabilirliği, cihaz kimliği ve haricî güvenlik incelemesi tamamlanmadı.</w:t>
            </w:r>
          </w:p>
        </w:tc>
      </w:tr>
      <w:tr>
        <w:tc>
          <w:tcPr>
            <w:tcW w:type="dxa" w:w="650"/>
            <w:vAlign w:val="center"/>
          </w:tcPr>
          <w:p>
            <w:pPr>
              <w:spacing w:after="0"/>
            </w:pPr>
            <w:r/>
            <w:r>
              <w:rPr>
                <w:rFonts w:ascii="Calibri" w:hAnsi="Calibri"/>
                <w:b w:val="0"/>
                <w:color w:val="333537"/>
                <w:sz w:val="13"/>
              </w:rPr>
              <w:t>34-B</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EXPANDED_LOCAL_COMPOSED_AND_TESTED_ACCEPTANCE_INCOMPLETE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çoklu istemci mesaj teslimi, presence, çevrimdışı/replay ve uzun süreli yaşam döngüsü UAT tamamlanmadı.</w:t>
            </w:r>
          </w:p>
        </w:tc>
      </w:tr>
      <w:tr>
        <w:tc>
          <w:tcPr>
            <w:tcW w:type="dxa" w:w="650"/>
            <w:vAlign w:val="center"/>
          </w:tcPr>
          <w:p>
            <w:pPr>
              <w:spacing w:after="0"/>
            </w:pPr>
            <w:r/>
            <w:r>
              <w:rPr>
                <w:rFonts w:ascii="Calibri" w:hAnsi="Calibri"/>
                <w:b w:val="0"/>
                <w:color w:val="333537"/>
                <w:sz w:val="13"/>
              </w:rPr>
              <w:t>34-C</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WebRTC/SFU/TURN, kamera-mikrofon cihazları, ağ bozulması ve erişilebilir çağrı UAT tamamlanmadı.</w:t>
            </w:r>
          </w:p>
        </w:tc>
      </w:tr>
      <w:tr>
        <w:tc>
          <w:tcPr>
            <w:tcW w:type="dxa" w:w="650"/>
            <w:vAlign w:val="center"/>
          </w:tcPr>
          <w:p>
            <w:pPr>
              <w:spacing w:after="0"/>
            </w:pPr>
            <w:r/>
            <w:r>
              <w:rPr>
                <w:rFonts w:ascii="Calibri" w:hAnsi="Calibri"/>
                <w:b w:val="0"/>
                <w:color w:val="333537"/>
                <w:sz w:val="13"/>
              </w:rPr>
              <w:t>34-D</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Kayıt için gerçek katılımcı rızası, medya saklama/imha, hukuk-gizlilik incelemesi ve cihaz UAT tamamlanmadı.</w:t>
            </w:r>
          </w:p>
        </w:tc>
      </w:tr>
      <w:tr>
        <w:tc>
          <w:tcPr>
            <w:tcW w:type="dxa" w:w="650"/>
            <w:vAlign w:val="center"/>
          </w:tcPr>
          <w:p>
            <w:pPr>
              <w:spacing w:after="0"/>
            </w:pPr>
            <w:r/>
            <w:r>
              <w:rPr>
                <w:rFonts w:ascii="Calibri" w:hAnsi="Calibri"/>
                <w:b w:val="0"/>
                <w:color w:val="333537"/>
                <w:sz w:val="13"/>
              </w:rPr>
              <w:t>34-E</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çeviri/altyazı sağlayıcısı, dil kalite ölçümü, cihaz performansı ve insan UAT tamamlanmadı.</w:t>
            </w:r>
          </w:p>
        </w:tc>
      </w:tr>
      <w:tr>
        <w:tc>
          <w:tcPr>
            <w:tcW w:type="dxa" w:w="650"/>
            <w:vAlign w:val="center"/>
          </w:tcPr>
          <w:p>
            <w:pPr>
              <w:spacing w:after="0"/>
            </w:pPr>
            <w:r/>
            <w:r>
              <w:rPr>
                <w:rFonts w:ascii="Calibri" w:hAnsi="Calibri"/>
                <w:b w:val="0"/>
                <w:color w:val="333537"/>
                <w:sz w:val="13"/>
              </w:rPr>
              <w:t>34-F</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aile toplantısı, karar/rıza uyuşmazlığı, tutanak UAT ve hukuk-gizlilik incelemesi tamamlanmadı.</w:t>
            </w:r>
          </w:p>
        </w:tc>
      </w:tr>
      <w:tr>
        <w:tc>
          <w:tcPr>
            <w:tcW w:type="dxa" w:w="650"/>
            <w:vAlign w:val="center"/>
          </w:tcPr>
          <w:p>
            <w:pPr>
              <w:spacing w:after="0"/>
            </w:pPr>
            <w:r/>
            <w:r>
              <w:rPr>
                <w:rFonts w:ascii="Calibri" w:hAnsi="Calibri"/>
                <w:b w:val="0"/>
                <w:color w:val="333537"/>
                <w:sz w:val="13"/>
              </w:rPr>
              <w:t>34-G</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LOCAL_PRODUCTION_COMPOSITION_ACCEPTANCE_INCOMPLETE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çoklu cihaz E2EE dosya aktarımı, büyük dosya/kesinti, sağlayıcı ve kullanıcı UAT tamamlanmadı.</w:t>
            </w:r>
          </w:p>
        </w:tc>
      </w:tr>
      <w:tr>
        <w:tc>
          <w:tcPr>
            <w:tcW w:type="dxa" w:w="650"/>
            <w:vAlign w:val="center"/>
          </w:tcPr>
          <w:p>
            <w:pPr>
              <w:spacing w:after="0"/>
            </w:pPr>
            <w:r/>
            <w:r>
              <w:rPr>
                <w:rFonts w:ascii="Calibri" w:hAnsi="Calibri"/>
                <w:b w:val="0"/>
                <w:color w:val="333537"/>
                <w:sz w:val="13"/>
              </w:rPr>
              <w:t>34-H</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LOCAL_PRODUCTION_QUERY_COMPOSED_ACCEPTANCE_INCOMPLETE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uzun süreli iletişim audit/arşiv bütünlüğü, saklama/imha ve bağımsız inceleme tamamlanmadı.</w:t>
            </w:r>
          </w:p>
        </w:tc>
      </w:tr>
      <w:tr>
        <w:tc>
          <w:tcPr>
            <w:tcW w:type="dxa" w:w="650"/>
            <w:vAlign w:val="center"/>
          </w:tcPr>
          <w:p>
            <w:pPr>
              <w:spacing w:after="0"/>
            </w:pPr>
            <w:r/>
            <w:r>
              <w:rPr>
                <w:rFonts w:ascii="Calibri" w:hAnsi="Calibri"/>
                <w:b w:val="0"/>
                <w:color w:val="333537"/>
                <w:sz w:val="13"/>
              </w:rPr>
              <w:t>34-I</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LOCAL_HARDENED_FAIL_CLOSED_FOUNDATION_ACCEPTANCE_INCOMPLETE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çoklu node quorum/witness/failover, mTLS kimliği, ağ bölünmesi ve uzun süreli soak tamamlanmadı.</w:t>
            </w:r>
          </w:p>
        </w:tc>
      </w:tr>
      <w:tr>
        <w:tc>
          <w:tcPr>
            <w:tcW w:type="dxa" w:w="650"/>
            <w:vAlign w:val="center"/>
          </w:tcPr>
          <w:p>
            <w:pPr>
              <w:spacing w:after="0"/>
            </w:pPr>
            <w:r/>
            <w:r>
              <w:rPr>
                <w:rFonts w:ascii="Calibri" w:hAnsi="Calibri"/>
                <w:b w:val="0"/>
                <w:color w:val="333537"/>
                <w:sz w:val="13"/>
              </w:rPr>
              <w:t>34-J</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LOCAL_HARDENED_FAIL_CLOSED_FOUNDATION_ACCEPTANCE_INCOMPLETE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dağıtık istemciler, Apple companion, operasyon/felaket kurtarma ve saha provası tamamlanmadı.</w:t>
            </w:r>
          </w:p>
        </w:tc>
      </w:tr>
      <w:tr>
        <w:tc>
          <w:tcPr>
            <w:tcW w:type="dxa" w:w="650"/>
            <w:vAlign w:val="center"/>
          </w:tcPr>
          <w:p>
            <w:pPr>
              <w:spacing w:after="0"/>
            </w:pPr>
            <w:r/>
            <w:r>
              <w:rPr>
                <w:rFonts w:ascii="Calibri" w:hAnsi="Calibri"/>
                <w:b w:val="0"/>
                <w:color w:val="333537"/>
                <w:sz w:val="13"/>
              </w:rPr>
              <w:t>34-K</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LOCAL_HARDENED_FAIL_CLOSED_FOUNDATION_ACCEPTANCE_INCOMPLETE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Animasyonlu kurulum, sesli Yardım Merkezi ve DPAPI korumalı Core Service companion yerel kaynakta bulundu; eski C:\Program Files\@pptdesktop kurulumu kaldırıldı, güncel imzasız yerel paket C:\Program Files\PPT\AYM hedefine kuruldu ve ana pencere/renderer/Core Service ile açılış PASS verdi. Production Authenticode sertifikası sağlanmadı; temiz işletim sistemi, signed installer, upgrade/repair/yeni uninstall-veri koruma, yeniden başlatma/güç kesintisi, 168 saat soak ve erişilebilirlik UAT tamamlanmadı.</w:t>
            </w:r>
          </w:p>
        </w:tc>
      </w:tr>
      <w:tr>
        <w:tc>
          <w:tcPr>
            <w:tcW w:type="dxa" w:w="650"/>
            <w:vAlign w:val="center"/>
          </w:tcPr>
          <w:p>
            <w:pPr>
              <w:spacing w:after="0"/>
            </w:pPr>
            <w:r/>
            <w:r>
              <w:rPr>
                <w:rFonts w:ascii="Calibri" w:hAnsi="Calibri"/>
                <w:b w:val="0"/>
                <w:color w:val="333537"/>
                <w:sz w:val="13"/>
              </w:rPr>
              <w:t>34-L</w:t>
            </w:r>
          </w:p>
        </w:tc>
        <w:tc>
          <w:tcPr>
            <w:tcW w:type="dxa" w:w="1050"/>
            <w:vAlign w:val="center"/>
          </w:tcPr>
          <w:p>
            <w:pPr>
              <w:spacing w:after="0"/>
            </w:pPr>
            <w:r/>
            <w:r>
              <w:rPr>
                <w:rFonts w:ascii="Calibri" w:hAnsi="Calibri"/>
                <w:b w:val="0"/>
                <w:color w:val="333537"/>
                <w:sz w:val="13"/>
              </w:rPr>
              <w:t>PLANNED_FINAL</w:t>
            </w:r>
          </w:p>
        </w:tc>
        <w:tc>
          <w:tcPr>
            <w:tcW w:type="dxa" w:w="1700"/>
            <w:vAlign w:val="center"/>
          </w:tcPr>
          <w:p>
            <w:pPr>
              <w:spacing w:after="0"/>
            </w:pPr>
            <w:r/>
            <w:r>
              <w:rPr>
                <w:rFonts w:ascii="Calibri" w:hAnsi="Calibri"/>
                <w:b w:val="0"/>
                <w:color w:val="333537"/>
                <w:sz w:val="13"/>
              </w:rPr>
              <w:t>LOCAL_CLOSURE_AUTOMATION_COMPOSED_ACCEPTANCE_BLOCKED</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Bütün roadmap paketleri kabul edilmedi; gerçek Windows/dağıtık/Apple/uzak sağlayıcı/soak/sertifikasyon ve dış incelemeler NOT_RUN kaldı.</w:t>
            </w:r>
          </w:p>
        </w:tc>
      </w:tr>
    </w:tbl>
    <w:p>
      <w:pPr>
        <w:pStyle w:val="Heading1"/>
        <w:keepNext/>
      </w:pPr>
      <w:r>
        <w:t>7. Yerel doğrulama ve kabul sınırı</w:t>
      </w:r>
    </w:p>
    <w:tbl>
      <w:tblPr>
        <w:tblStyle w:val="TableGrid"/>
        <w:tblW w:type="dxa" w:w="9360"/>
        <w:jc w:val="center"/>
        <w:tblLayout w:type="fixed"/>
        <w:tblLook w:firstColumn="1" w:firstRow="1" w:lastColumn="0" w:lastRow="0" w:noHBand="0" w:noVBand="1" w:val="04A0"/>
      </w:tblPr>
      <w:tblGrid>
        <w:gridCol w:w="2100"/>
        <w:gridCol w:w="1400"/>
        <w:gridCol w:w="5860"/>
      </w:tblGrid>
      <w:tr>
        <w:tc>
          <w:tcPr>
            <w:tcW w:type="dxa" w:w="2100"/>
            <w:shd w:fill="7C4D20"/>
            <w:vAlign w:val="center"/>
          </w:tcPr>
          <w:p>
            <w:pPr>
              <w:spacing w:after="0"/>
            </w:pPr>
            <w:r/>
            <w:r>
              <w:rPr>
                <w:rFonts w:ascii="Calibri" w:hAnsi="Calibri"/>
                <w:b/>
                <w:color w:val="FFFFFF"/>
                <w:sz w:val="16"/>
              </w:rPr>
              <w:t>Kapı</w:t>
            </w:r>
          </w:p>
        </w:tc>
        <w:tc>
          <w:tcPr>
            <w:tcW w:type="dxa" w:w="1400"/>
            <w:shd w:fill="7C4D20"/>
            <w:vAlign w:val="center"/>
          </w:tcPr>
          <w:p>
            <w:pPr>
              <w:spacing w:after="0"/>
            </w:pPr>
            <w:r/>
            <w:r>
              <w:rPr>
                <w:rFonts w:ascii="Calibri" w:hAnsi="Calibri"/>
                <w:b/>
                <w:color w:val="FFFFFF"/>
                <w:sz w:val="16"/>
              </w:rPr>
              <w:t>Sonuç</w:t>
            </w:r>
          </w:p>
        </w:tc>
        <w:tc>
          <w:tcPr>
            <w:tcW w:type="dxa" w:w="5860"/>
            <w:shd w:fill="7C4D20"/>
            <w:vAlign w:val="center"/>
          </w:tcPr>
          <w:p>
            <w:pPr>
              <w:spacing w:after="0"/>
            </w:pPr>
            <w:r/>
            <w:r>
              <w:rPr>
                <w:rFonts w:ascii="Calibri" w:hAnsi="Calibri"/>
                <w:b/>
                <w:color w:val="FFFFFF"/>
                <w:sz w:val="16"/>
              </w:rPr>
              <w:t>Kanıt</w:t>
            </w:r>
          </w:p>
        </w:tc>
      </w:tr>
      <w:tr>
        <w:tc>
          <w:tcPr>
            <w:tcW w:type="dxa" w:w="2100"/>
            <w:vAlign w:val="center"/>
          </w:tcPr>
          <w:p>
            <w:pPr>
              <w:spacing w:after="0"/>
            </w:pPr>
            <w:r/>
            <w:r>
              <w:rPr>
                <w:rFonts w:ascii="Calibri" w:hAnsi="Calibri"/>
                <w:b w:val="0"/>
                <w:color w:val="333537"/>
                <w:sz w:val="16"/>
              </w:rPr>
              <w:t>Boundary</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51</w:t>
            </w:r>
          </w:p>
        </w:tc>
      </w:tr>
      <w:tr>
        <w:tc>
          <w:tcPr>
            <w:tcW w:type="dxa" w:w="2100"/>
            <w:vAlign w:val="center"/>
          </w:tcPr>
          <w:p>
            <w:pPr>
              <w:spacing w:after="0"/>
            </w:pPr>
            <w:r/>
            <w:r>
              <w:rPr>
                <w:rFonts w:ascii="Calibri" w:hAnsi="Calibri"/>
                <w:b w:val="0"/>
                <w:color w:val="333537"/>
                <w:sz w:val="16"/>
              </w:rPr>
              <w:t>Contract</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30</w:t>
            </w:r>
          </w:p>
        </w:tc>
      </w:tr>
      <w:tr>
        <w:tc>
          <w:tcPr>
            <w:tcW w:type="dxa" w:w="2100"/>
            <w:vAlign w:val="center"/>
          </w:tcPr>
          <w:p>
            <w:pPr>
              <w:spacing w:after="0"/>
            </w:pPr>
            <w:r/>
            <w:r>
              <w:rPr>
                <w:rFonts w:ascii="Calibri" w:hAnsi="Calibri"/>
                <w:b w:val="0"/>
                <w:color w:val="333537"/>
                <w:sz w:val="16"/>
              </w:rPr>
              <w:t>Runtime</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171</w:t>
            </w:r>
          </w:p>
        </w:tc>
      </w:tr>
      <w:tr>
        <w:tc>
          <w:tcPr>
            <w:tcW w:type="dxa" w:w="2100"/>
            <w:vAlign w:val="center"/>
          </w:tcPr>
          <w:p>
            <w:pPr>
              <w:spacing w:after="0"/>
            </w:pPr>
            <w:r/>
            <w:r>
              <w:rPr>
                <w:rFonts w:ascii="Calibri" w:hAnsi="Calibri"/>
                <w:b w:val="0"/>
                <w:color w:val="333537"/>
                <w:sz w:val="16"/>
              </w:rPr>
              <w:t>Targeted</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12 dosya / 50 test</w:t>
            </w:r>
          </w:p>
        </w:tc>
      </w:tr>
      <w:tr>
        <w:tc>
          <w:tcPr>
            <w:tcW w:type="dxa" w:w="2100"/>
            <w:vAlign w:val="center"/>
          </w:tcPr>
          <w:p>
            <w:pPr>
              <w:spacing w:after="0"/>
            </w:pPr>
            <w:r/>
            <w:r>
              <w:rPr>
                <w:rFonts w:ascii="Calibri" w:hAnsi="Calibri"/>
                <w:b w:val="0"/>
                <w:color w:val="333537"/>
                <w:sz w:val="16"/>
              </w:rPr>
              <w:t>Full regression</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292 dosya / 1986 test</w:t>
            </w:r>
          </w:p>
        </w:tc>
      </w:tr>
      <w:tr>
        <w:tc>
          <w:tcPr>
            <w:tcW w:type="dxa" w:w="2100"/>
            <w:vAlign w:val="center"/>
          </w:tcPr>
          <w:p>
            <w:pPr>
              <w:spacing w:after="0"/>
            </w:pPr>
            <w:r/>
            <w:r>
              <w:rPr>
                <w:rFonts w:ascii="Calibri" w:hAnsi="Calibri"/>
                <w:b w:val="0"/>
                <w:color w:val="333537"/>
                <w:sz w:val="16"/>
              </w:rPr>
              <w:t>Root typecheck</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Kaynak tipi</w:t>
            </w:r>
          </w:p>
        </w:tc>
      </w:tr>
      <w:tr>
        <w:tc>
          <w:tcPr>
            <w:tcW w:type="dxa" w:w="2100"/>
            <w:vAlign w:val="center"/>
          </w:tcPr>
          <w:p>
            <w:pPr>
              <w:spacing w:after="0"/>
            </w:pPr>
            <w:r/>
            <w:r>
              <w:rPr>
                <w:rFonts w:ascii="Calibri" w:hAnsi="Calibri"/>
                <w:b w:val="0"/>
                <w:color w:val="333537"/>
                <w:sz w:val="16"/>
              </w:rPr>
              <w:t>Production builds</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18 workspace</w:t>
            </w:r>
          </w:p>
        </w:tc>
      </w:tr>
      <w:tr>
        <w:tc>
          <w:tcPr>
            <w:tcW w:type="dxa" w:w="2100"/>
            <w:vAlign w:val="center"/>
          </w:tcPr>
          <w:p>
            <w:pPr>
              <w:spacing w:after="0"/>
            </w:pPr>
            <w:r/>
            <w:r>
              <w:rPr>
                <w:rFonts w:ascii="Calibri" w:hAnsi="Calibri"/>
                <w:b w:val="0"/>
                <w:color w:val="333537"/>
                <w:sz w:val="16"/>
              </w:rPr>
              <w:t>Requirement kabul</w:t>
            </w:r>
          </w:p>
        </w:tc>
        <w:tc>
          <w:tcPr>
            <w:tcW w:type="dxa" w:w="1400"/>
            <w:vAlign w:val="center"/>
          </w:tcPr>
          <w:p>
            <w:pPr>
              <w:spacing w:after="0"/>
            </w:pPr>
            <w:r/>
            <w:r>
              <w:rPr>
                <w:rFonts w:ascii="Calibri" w:hAnsi="Calibri"/>
                <w:b w:val="0"/>
                <w:color w:val="333537"/>
                <w:sz w:val="16"/>
              </w:rPr>
              <w:t>HAYIR</w:t>
            </w:r>
          </w:p>
        </w:tc>
        <w:tc>
          <w:tcPr>
            <w:tcW w:type="dxa" w:w="5860"/>
            <w:vAlign w:val="center"/>
          </w:tcPr>
          <w:p>
            <w:pPr>
              <w:spacing w:after="0"/>
            </w:pPr>
            <w:r/>
            <w:r>
              <w:rPr>
                <w:rFonts w:ascii="Calibri" w:hAnsi="Calibri"/>
                <w:b w:val="0"/>
                <w:color w:val="333537"/>
                <w:sz w:val="16"/>
              </w:rPr>
              <w:t>requirementsClosed=false / countsAsRequirementPass=false</w:t>
            </w:r>
          </w:p>
        </w:tc>
      </w:tr>
    </w:tbl>
    <w:p>
      <w:pPr>
        <w:pStyle w:val="Heading1"/>
        <w:keepNext/>
      </w:pPr>
      <w:r>
        <w:t>8. Dış bağımlılıklar ve neden açık</w:t>
      </w:r>
    </w:p>
    <w:p>
      <w:pPr>
        <w:pStyle w:val="Heading2"/>
        <w:keepNext/>
      </w:pPr>
      <w:r>
        <w:t>Üretim sertifikası ve provenance</w:t>
      </w:r>
    </w:p>
    <w:p>
      <w:pPr>
        <w:spacing w:after="120" w:line="300" w:lineRule="auto"/>
      </w:pPr>
      <w:r>
        <w:rPr>
          <w:rFonts w:ascii="Calibri" w:hAnsi="Calibri"/>
          <w:i w:val="0"/>
        </w:rPr>
        <w:t>Authenticode/kod imzalama sertifikası, güvenilir zaman damgası ve üretim provenance kanıtı yoksa installer yayıma hazır sayılamaz.</w:t>
      </w:r>
    </w:p>
    <w:p>
      <w:pPr>
        <w:pStyle w:val="Heading2"/>
        <w:keepNext/>
      </w:pPr>
      <w:r>
        <w:t>Gerçek cihaz ve sağlayıcı UAT</w:t>
      </w:r>
    </w:p>
    <w:p>
      <w:pPr>
        <w:spacing w:after="120" w:line="300" w:lineRule="auto"/>
      </w:pPr>
      <w:r>
        <w:rPr>
          <w:rFonts w:ascii="Calibri" w:hAnsi="Calibri"/>
          <w:i w:val="0"/>
        </w:rPr>
        <w:t>Passkey/authenticator, Windows cihazları, kamera/mikrofon, Matter, OCR/AI/çeviri, OIDC, WebRTC/SFU/TURN, bulut/kurum bağlantıları ve Apple istemcileri gerçek ortamda sınanmalıdır.</w:t>
      </w:r>
    </w:p>
    <w:p>
      <w:pPr>
        <w:pStyle w:val="Heading2"/>
        <w:keepNext/>
      </w:pPr>
      <w:r>
        <w:t>Gerçek dağıtık sistem</w:t>
      </w:r>
    </w:p>
    <w:p>
      <w:pPr>
        <w:spacing w:after="120" w:line="300" w:lineRule="auto"/>
      </w:pPr>
      <w:r>
        <w:rPr>
          <w:rFonts w:ascii="Calibri" w:hAnsi="Calibri"/>
          <w:i w:val="0"/>
        </w:rPr>
        <w:t>En az gerçek çoklu node, quorum/witness, mTLS, ağ bölünmesi, failover, snapshot ve felaket kurtarma provası gerekir.</w:t>
      </w:r>
    </w:p>
    <w:p>
      <w:pPr>
        <w:pStyle w:val="Heading2"/>
        <w:keepNext/>
      </w:pPr>
      <w:r>
        <w:t>Uzun süreli işletim</w:t>
      </w:r>
    </w:p>
    <w:p>
      <w:pPr>
        <w:spacing w:after="120" w:line="300" w:lineRule="auto"/>
      </w:pPr>
      <w:r>
        <w:rPr>
          <w:rFonts w:ascii="Calibri" w:hAnsi="Calibri"/>
          <w:i w:val="0"/>
        </w:rPr>
        <w:t>168 saat soak, yeniden başlatma, güç kesintisi, disk doluluğu, saat değişimi, uyku/uyanma ve güncelleme/rollback kanıtları gerekir.</w:t>
      </w:r>
    </w:p>
    <w:p>
      <w:pPr>
        <w:pStyle w:val="Heading2"/>
        <w:keepNext/>
      </w:pPr>
      <w:r>
        <w:t>Hukuk ve gizlilik</w:t>
      </w:r>
    </w:p>
    <w:p>
      <w:pPr>
        <w:spacing w:after="120" w:line="300" w:lineRule="auto"/>
      </w:pPr>
      <w:r>
        <w:rPr>
          <w:rFonts w:ascii="Calibri" w:hAnsi="Calibri"/>
          <w:i w:val="0"/>
        </w:rPr>
        <w:t>Saklama/imha süreleri, çocuk/sağlık/iletişim kaydı, delil niteliği, sağlayıcı sözleşmeleri ve ülke bazlı yükümlülükler uzman incelemesi olmadan ürün gerçeği olarak sunulamaz.</w:t>
      </w:r>
    </w:p>
    <w:p>
      <w:pPr>
        <w:pStyle w:val="Heading2"/>
        <w:keepNext/>
      </w:pPr>
      <w:r>
        <w:t>İnsan ve erişilebilirlik UAT</w:t>
      </w:r>
    </w:p>
    <w:p>
      <w:pPr>
        <w:spacing w:after="120" w:line="300" w:lineRule="auto"/>
      </w:pPr>
      <w:r>
        <w:rPr>
          <w:rFonts w:ascii="Calibri" w:hAnsi="Calibri"/>
          <w:i w:val="0"/>
        </w:rPr>
        <w:t>Narrator, büyütme, klavye, contrast, metin taşması, çocuk/yetişkin/ileri yaş/bakım veren profilleri ve gerçek kritik akışlar insanlarla doğrulanmalıdır.</w:t>
      </w:r>
    </w:p>
    <w:p>
      <w:pPr>
        <w:pStyle w:val="Heading1"/>
        <w:keepNext/>
      </w:pPr>
      <w:r>
        <w:t>9. Installer ve çalıştırma gerçeği</w:t>
      </w:r>
    </w:p>
    <w:p>
      <w:pPr>
        <w:spacing w:after="120" w:line="300" w:lineRule="auto"/>
      </w:pPr>
      <w:r>
        <w:rPr>
          <w:rFonts w:ascii="Calibri" w:hAnsi="Calibri"/>
          <w:i w:val="0"/>
        </w:rPr>
        <w:t>Kurulum hedefi C:\Program Files\PPT\AYM olarak yapılandırılmıştır. Yerel kaynak/typecheck/build ve installer doğrulama kodları tek başına kurulu uygulamanın bu makinede açıldığı anlamına gelmez. Önceki kurulum denemesinde uygulama açılışı başarısız olmuştur; korumalı authority/Core Service hazırlığı ve gerçek kurulu yaşam döngüsü yeniden PASS olmadan 'kullanıma hazır' iddiası kurulmaz.</w:t>
      </w:r>
    </w:p>
    <w:p>
      <w:pPr>
        <w:pStyle w:val="Heading1"/>
        <w:keepNext/>
      </w:pPr>
      <w:r>
        <w:t>10. Görsel kimlik ve erişilebilirlik</w:t>
      </w:r>
    </w:p>
    <w:tbl>
      <w:tblPr>
        <w:tblStyle w:val="TableGrid"/>
        <w:tblW w:type="dxa" w:w="9360"/>
        <w:jc w:val="center"/>
        <w:tblLayout w:type="fixed"/>
        <w:tblLook w:firstColumn="1" w:firstRow="1" w:lastColumn="0" w:lastRow="0" w:noHBand="0" w:noVBand="1" w:val="04A0"/>
      </w:tblPr>
      <w:tblGrid>
        <w:gridCol w:w="1200"/>
        <w:gridCol w:w="2040"/>
        <w:gridCol w:w="2040"/>
        <w:gridCol w:w="2040"/>
        <w:gridCol w:w="2040"/>
      </w:tblGrid>
      <w:tr>
        <w:tc>
          <w:tcPr>
            <w:tcW w:type="dxa" w:w="1200"/>
            <w:shd w:fill="7C4D20"/>
            <w:vAlign w:val="center"/>
          </w:tcPr>
          <w:p>
            <w:pPr>
              <w:spacing w:after="0"/>
            </w:pPr>
            <w:r/>
            <w:r>
              <w:rPr>
                <w:rFonts w:ascii="Calibri" w:hAnsi="Calibri"/>
                <w:b/>
                <w:color w:val="FFFFFF"/>
                <w:sz w:val="16"/>
              </w:rPr>
              <w:t>Kanal</w:t>
            </w:r>
          </w:p>
        </w:tc>
        <w:tc>
          <w:tcPr>
            <w:tcW w:type="dxa" w:w="2040"/>
            <w:shd w:fill="7C4D20"/>
            <w:vAlign w:val="center"/>
          </w:tcPr>
          <w:p>
            <w:pPr>
              <w:spacing w:after="0"/>
            </w:pPr>
            <w:r/>
            <w:r>
              <w:rPr>
                <w:rFonts w:ascii="Calibri" w:hAnsi="Calibri"/>
                <w:b/>
                <w:color w:val="FFFFFF"/>
                <w:sz w:val="16"/>
              </w:rPr>
              <w:t>Text</w:t>
            </w:r>
          </w:p>
        </w:tc>
        <w:tc>
          <w:tcPr>
            <w:tcW w:type="dxa" w:w="2040"/>
            <w:shd w:fill="7C4D20"/>
            <w:vAlign w:val="center"/>
          </w:tcPr>
          <w:p>
            <w:pPr>
              <w:spacing w:after="0"/>
            </w:pPr>
            <w:r/>
            <w:r>
              <w:rPr>
                <w:rFonts w:ascii="Calibri" w:hAnsi="Calibri"/>
                <w:b/>
                <w:color w:val="FFFFFF"/>
                <w:sz w:val="16"/>
              </w:rPr>
              <w:t>Strong</w:t>
            </w:r>
          </w:p>
        </w:tc>
        <w:tc>
          <w:tcPr>
            <w:tcW w:type="dxa" w:w="2040"/>
            <w:shd w:fill="7C4D20"/>
            <w:vAlign w:val="center"/>
          </w:tcPr>
          <w:p>
            <w:pPr>
              <w:spacing w:after="0"/>
            </w:pPr>
            <w:r/>
            <w:r>
              <w:rPr>
                <w:rFonts w:ascii="Calibri" w:hAnsi="Calibri"/>
                <w:b/>
                <w:color w:val="FFFFFF"/>
                <w:sz w:val="16"/>
              </w:rPr>
              <w:t>Icon</w:t>
            </w:r>
          </w:p>
        </w:tc>
        <w:tc>
          <w:tcPr>
            <w:tcW w:type="dxa" w:w="2040"/>
            <w:shd w:fill="7C4D20"/>
            <w:vAlign w:val="center"/>
          </w:tcPr>
          <w:p>
            <w:pPr>
              <w:spacing w:after="0"/>
            </w:pPr>
            <w:r/>
            <w:r>
              <w:rPr>
                <w:rFonts w:ascii="Calibri" w:hAnsi="Calibri"/>
                <w:b/>
                <w:color w:val="FFFFFF"/>
                <w:sz w:val="16"/>
              </w:rPr>
              <w:t>Edge</w:t>
            </w:r>
          </w:p>
        </w:tc>
      </w:tr>
      <w:tr>
        <w:tc>
          <w:tcPr>
            <w:tcW w:type="dxa" w:w="1200"/>
            <w:vAlign w:val="center"/>
          </w:tcPr>
          <w:p>
            <w:pPr>
              <w:spacing w:after="0"/>
            </w:pPr>
            <w:r/>
            <w:r>
              <w:rPr>
                <w:rFonts w:ascii="Calibri" w:hAnsi="Calibri"/>
                <w:b w:val="0"/>
                <w:color w:val="333537"/>
                <w:sz w:val="16"/>
              </w:rPr>
              <w:t>Bronze</w:t>
            </w:r>
          </w:p>
        </w:tc>
        <w:tc>
          <w:tcPr>
            <w:tcW w:type="dxa" w:w="2040"/>
            <w:vAlign w:val="center"/>
          </w:tcPr>
          <w:p>
            <w:pPr>
              <w:spacing w:after="0"/>
            </w:pPr>
            <w:r/>
            <w:r>
              <w:rPr>
                <w:rFonts w:ascii="Calibri" w:hAnsi="Calibri"/>
                <w:b w:val="0"/>
                <w:color w:val="333537"/>
                <w:sz w:val="16"/>
              </w:rPr>
              <w:t>#d8ad78</w:t>
            </w:r>
          </w:p>
        </w:tc>
        <w:tc>
          <w:tcPr>
            <w:tcW w:type="dxa" w:w="2040"/>
            <w:vAlign w:val="center"/>
          </w:tcPr>
          <w:p>
            <w:pPr>
              <w:spacing w:after="0"/>
            </w:pPr>
            <w:r/>
            <w:r>
              <w:rPr>
                <w:rFonts w:ascii="Calibri" w:hAnsi="Calibri"/>
                <w:b w:val="0"/>
                <w:color w:val="333537"/>
                <w:sz w:val="16"/>
              </w:rPr>
              <w:t>#ffd39b</w:t>
            </w:r>
          </w:p>
        </w:tc>
        <w:tc>
          <w:tcPr>
            <w:tcW w:type="dxa" w:w="2040"/>
            <w:vAlign w:val="center"/>
          </w:tcPr>
          <w:p>
            <w:pPr>
              <w:spacing w:after="0"/>
            </w:pPr>
            <w:r/>
            <w:r>
              <w:rPr>
                <w:rFonts w:ascii="Calibri" w:hAnsi="Calibri"/>
                <w:b w:val="0"/>
                <w:color w:val="333537"/>
                <w:sz w:val="16"/>
              </w:rPr>
              <w:t>#e4a85f</w:t>
            </w:r>
          </w:p>
        </w:tc>
        <w:tc>
          <w:tcPr>
            <w:tcW w:type="dxa" w:w="2040"/>
            <w:vAlign w:val="center"/>
          </w:tcPr>
          <w:p>
            <w:pPr>
              <w:spacing w:after="0"/>
            </w:pPr>
            <w:r/>
            <w:r>
              <w:rPr>
                <w:rFonts w:ascii="Calibri" w:hAnsi="Calibri"/>
                <w:b w:val="0"/>
                <w:color w:val="333537"/>
                <w:sz w:val="16"/>
              </w:rPr>
              <w:t>#dc9852</w:t>
            </w:r>
          </w:p>
        </w:tc>
      </w:tr>
      <w:tr>
        <w:tc>
          <w:tcPr>
            <w:tcW w:type="dxa" w:w="1200"/>
            <w:vAlign w:val="center"/>
          </w:tcPr>
          <w:p>
            <w:pPr>
              <w:spacing w:after="0"/>
            </w:pPr>
            <w:r/>
            <w:r>
              <w:rPr>
                <w:rFonts w:ascii="Calibri" w:hAnsi="Calibri"/>
                <w:b w:val="0"/>
                <w:color w:val="333537"/>
                <w:sz w:val="16"/>
              </w:rPr>
              <w:t>Silver</w:t>
            </w:r>
          </w:p>
        </w:tc>
        <w:tc>
          <w:tcPr>
            <w:tcW w:type="dxa" w:w="2040"/>
            <w:vAlign w:val="center"/>
          </w:tcPr>
          <w:p>
            <w:pPr>
              <w:spacing w:after="0"/>
            </w:pPr>
            <w:r/>
            <w:r>
              <w:rPr>
                <w:rFonts w:ascii="Calibri" w:hAnsi="Calibri"/>
                <w:b w:val="0"/>
                <w:color w:val="333537"/>
                <w:sz w:val="16"/>
              </w:rPr>
              <w:t>#bcc8d2</w:t>
            </w:r>
          </w:p>
        </w:tc>
        <w:tc>
          <w:tcPr>
            <w:tcW w:type="dxa" w:w="2040"/>
            <w:vAlign w:val="center"/>
          </w:tcPr>
          <w:p>
            <w:pPr>
              <w:spacing w:after="0"/>
            </w:pPr>
            <w:r/>
            <w:r>
              <w:rPr>
                <w:rFonts w:ascii="Calibri" w:hAnsi="Calibri"/>
                <w:b w:val="0"/>
                <w:color w:val="333537"/>
                <w:sz w:val="16"/>
              </w:rPr>
              <w:t>#f3f7fa</w:t>
            </w:r>
          </w:p>
        </w:tc>
        <w:tc>
          <w:tcPr>
            <w:tcW w:type="dxa" w:w="2040"/>
            <w:vAlign w:val="center"/>
          </w:tcPr>
          <w:p>
            <w:pPr>
              <w:spacing w:after="0"/>
            </w:pPr>
            <w:r/>
            <w:r>
              <w:rPr>
                <w:rFonts w:ascii="Calibri" w:hAnsi="Calibri"/>
                <w:b w:val="0"/>
                <w:color w:val="333537"/>
                <w:sz w:val="16"/>
              </w:rPr>
              <w:t>#d4dde4</w:t>
            </w:r>
          </w:p>
        </w:tc>
        <w:tc>
          <w:tcPr>
            <w:tcW w:type="dxa" w:w="2040"/>
            <w:vAlign w:val="center"/>
          </w:tcPr>
          <w:p>
            <w:pPr>
              <w:spacing w:after="0"/>
            </w:pPr>
            <w:r/>
            <w:r>
              <w:rPr>
                <w:rFonts w:ascii="Calibri" w:hAnsi="Calibri"/>
                <w:b w:val="0"/>
                <w:color w:val="333537"/>
                <w:sz w:val="16"/>
              </w:rPr>
              <w:t>#d7e0e7</w:t>
            </w:r>
          </w:p>
        </w:tc>
      </w:tr>
      <w:tr>
        <w:tc>
          <w:tcPr>
            <w:tcW w:type="dxa" w:w="1200"/>
            <w:vAlign w:val="center"/>
          </w:tcPr>
          <w:p>
            <w:pPr>
              <w:spacing w:after="0"/>
            </w:pPr>
            <w:r/>
            <w:r>
              <w:rPr>
                <w:rFonts w:ascii="Calibri" w:hAnsi="Calibri"/>
                <w:b w:val="0"/>
                <w:color w:val="333537"/>
                <w:sz w:val="16"/>
              </w:rPr>
              <w:t>Gold</w:t>
            </w:r>
          </w:p>
        </w:tc>
        <w:tc>
          <w:tcPr>
            <w:tcW w:type="dxa" w:w="2040"/>
            <w:vAlign w:val="center"/>
          </w:tcPr>
          <w:p>
            <w:pPr>
              <w:spacing w:after="0"/>
            </w:pPr>
            <w:r/>
            <w:r>
              <w:rPr>
                <w:rFonts w:ascii="Calibri" w:hAnsi="Calibri"/>
                <w:b w:val="0"/>
                <w:color w:val="333537"/>
                <w:sz w:val="16"/>
              </w:rPr>
              <w:t>#d5b85f</w:t>
            </w:r>
          </w:p>
        </w:tc>
        <w:tc>
          <w:tcPr>
            <w:tcW w:type="dxa" w:w="2040"/>
            <w:vAlign w:val="center"/>
          </w:tcPr>
          <w:p>
            <w:pPr>
              <w:spacing w:after="0"/>
            </w:pPr>
            <w:r/>
            <w:r>
              <w:rPr>
                <w:rFonts w:ascii="Calibri" w:hAnsi="Calibri"/>
                <w:b w:val="0"/>
                <w:color w:val="333537"/>
                <w:sz w:val="16"/>
              </w:rPr>
              <w:t>#ffe9a0</w:t>
            </w:r>
          </w:p>
        </w:tc>
        <w:tc>
          <w:tcPr>
            <w:tcW w:type="dxa" w:w="2040"/>
            <w:vAlign w:val="center"/>
          </w:tcPr>
          <w:p>
            <w:pPr>
              <w:spacing w:after="0"/>
            </w:pPr>
            <w:r/>
            <w:r>
              <w:rPr>
                <w:rFonts w:ascii="Calibri" w:hAnsi="Calibri"/>
                <w:b w:val="0"/>
                <w:color w:val="333537"/>
                <w:sz w:val="16"/>
              </w:rPr>
              <w:t>#edca62</w:t>
            </w:r>
          </w:p>
        </w:tc>
        <w:tc>
          <w:tcPr>
            <w:tcW w:type="dxa" w:w="2040"/>
            <w:vAlign w:val="center"/>
          </w:tcPr>
          <w:p>
            <w:pPr>
              <w:spacing w:after="0"/>
            </w:pPr>
            <w:r/>
            <w:r>
              <w:rPr>
                <w:rFonts w:ascii="Calibri" w:hAnsi="Calibri"/>
                <w:b w:val="0"/>
                <w:color w:val="333537"/>
                <w:sz w:val="16"/>
              </w:rPr>
              <w:t>#f0cc58</w:t>
            </w:r>
          </w:p>
        </w:tc>
      </w:tr>
    </w:tbl>
    <w:p>
      <w:pPr>
        <w:spacing w:after="120" w:line="300" w:lineRule="auto"/>
      </w:pPr>
      <w:r>
        <w:rPr>
          <w:rFonts w:ascii="Calibri" w:hAnsi="Calibri"/>
          <w:i w:val="0"/>
        </w:rPr>
        <w:t>Logo 512×512 şeffaf PNG, stil warm_bronze_anatolian_leopard, SHA-256 8eed255430dd27c886ad2808071cfb114923230bd8712db8f03d46d2f0ef641a. Body 17 px; control 15 px; minimum 11 px. Gerçek ekran/Narrator/büyütme/UAT ayrıca gereklidir.</w:t>
      </w:r>
    </w:p>
    <w:p>
      <w:pPr>
        <w:pStyle w:val="Heading1"/>
        <w:keepNext/>
      </w:pPr>
      <w:r>
        <w:t>11. Belge sapmaları ve düzeltmeler</w:t>
      </w:r>
    </w:p>
    <w:p>
      <w:pPr>
        <w:pStyle w:val="ListBullet"/>
      </w:pPr>
      <w:r>
        <w:rPr>
          <w:rFonts w:ascii="Calibri" w:hAnsi="Calibri"/>
          <w:sz w:val="19"/>
        </w:rPr>
        <w:t>Aktif kapsam toplamı 344 → 358 olarak düzeltildi ve durum dağılımı eklendi.</w:t>
      </w:r>
    </w:p>
    <w:p>
      <w:pPr>
        <w:pStyle w:val="ListBullet"/>
      </w:pPr>
      <w:r>
        <w:rPr>
          <w:rFonts w:ascii="Calibri" w:hAnsi="Calibri"/>
          <w:sz w:val="19"/>
        </w:rPr>
        <w:t>Kanonik kural sicili V8/200/186/eski SHA → V9/208/194/güncel SHA olarak düzeltildi.</w:t>
      </w:r>
    </w:p>
    <w:p>
      <w:pPr>
        <w:pStyle w:val="ListBullet"/>
      </w:pPr>
      <w:r>
        <w:rPr>
          <w:rFonts w:ascii="Calibri" w:hAnsi="Calibri"/>
          <w:sz w:val="19"/>
        </w:rPr>
        <w:t>Kullanıcı karar özeti 52 → 81 olarak düzeltildi; DEC-250, DEC-251 ve DEC-252 kaydedildi.</w:t>
      </w:r>
    </w:p>
    <w:p>
      <w:pPr>
        <w:pStyle w:val="ListBullet"/>
      </w:pPr>
      <w:r>
        <w:rPr>
          <w:rFonts w:ascii="Calibri" w:hAnsi="Calibri"/>
          <w:sz w:val="19"/>
        </w:rPr>
        <w:t>Platform mimarisindeki 'OCR/iletişim başlamadı' anlatımı yerel bileşim var fakat kabul dış kanıta bağlı şeklinde düzeltildi.</w:t>
      </w:r>
    </w:p>
    <w:p>
      <w:pPr>
        <w:pStyle w:val="ListBullet"/>
      </w:pPr>
      <w:r>
        <w:rPr>
          <w:rFonts w:ascii="Calibri" w:hAnsi="Calibri"/>
          <w:sz w:val="19"/>
        </w:rPr>
        <w:t>Yol haritasına her açık paket için yerel uygulama durumu, açık kalma nedeni, eksik kanıt ve requirement PASS alanları eklendi.</w:t>
      </w:r>
    </w:p>
    <w:p>
      <w:pPr>
        <w:pStyle w:val="ListBullet"/>
      </w:pPr>
      <w:r>
        <w:rPr>
          <w:rFonts w:ascii="Calibri" w:hAnsi="Calibri"/>
          <w:sz w:val="19"/>
        </w:rPr>
        <w:t>Görsel sözleşme 17 px body, exact Bronze/Silver/Gold tokenları ve onaylı 512 px sıcak-bronz logo SHA'sıyla hizalandı.</w:t>
      </w:r>
    </w:p>
    <w:p>
      <w:pPr>
        <w:pStyle w:val="ListBullet"/>
      </w:pPr>
      <w:r>
        <w:rPr>
          <w:rFonts w:ascii="Calibri" w:hAnsi="Calibri"/>
          <w:sz w:val="19"/>
        </w:rPr>
        <w:t>Geçici .tmp/.tmp-runtime-dist içeriğinin aktif belge envanterine girmesi engellendi.</w:t>
      </w:r>
    </w:p>
    <w:p>
      <w:pPr>
        <w:pStyle w:val="ListBullet"/>
      </w:pPr>
      <w:r>
        <w:rPr>
          <w:rFonts w:ascii="Calibri" w:hAnsi="Calibri"/>
          <w:sz w:val="19"/>
        </w:rPr>
        <w:t>Build209–228 ve eski Bronze master çiftleri tarihsel olarak korundu; yeni sürüm ayrı adla oluşturuldu.</w:t>
      </w:r>
    </w:p>
    <w:p>
      <w:pPr>
        <w:pStyle w:val="ListBullet"/>
      </w:pPr>
      <w:r>
        <w:rPr>
          <w:rFonts w:ascii="Calibri" w:hAnsi="Calibri"/>
          <w:sz w:val="19"/>
        </w:rPr>
        <w:t>Word/PDF dışındaki RTF, Markdown, JSON/YAML, TXT, CSV ve HTML kayıtları da kök klasör düzeyinde hash ve okunabilirlik denetimine alındı; Excel/PowerPoint bulunmadığı açıkça kaydedildi.</w:t>
      </w:r>
    </w:p>
    <w:p>
      <w:pPr>
        <w:pStyle w:val="ListBullet"/>
      </w:pPr>
      <w:r>
        <w:rPr>
          <w:rFonts w:ascii="Calibri" w:hAnsi="Calibri"/>
          <w:sz w:val="19"/>
        </w:rPr>
        <w:t>Her yeni kararın DEC, makine defteri, etkilenen belgeler ve açık/kapalı iş gerekçeleriyle aynı değişiklikte güncellenmesi fail-closed kurala bağlandı.</w:t>
      </w:r>
    </w:p>
    <w:p>
      <w:pPr>
        <w:pStyle w:val="ListBullet"/>
      </w:pPr>
      <w:r>
        <w:rPr>
          <w:rFonts w:ascii="Calibri" w:hAnsi="Calibri"/>
          <w:sz w:val="19"/>
        </w:rPr>
        <w:t>Bu kapsamlı tarama tarihsel kayıtların son içerik temelidir; DEC-252 gereği gelecekte eski build/arşiv/checkpoint içeriği yeniden denetlenmeyecek, yalnız değişmez HISTORICAL kayıt olarak korunacaktır.</w:t>
      </w:r>
    </w:p>
    <w:p>
      <w:pPr>
        <w:pStyle w:val="ListBullet"/>
      </w:pPr>
      <w:r>
        <w:rPr>
          <w:rFonts w:ascii="Calibri" w:hAnsi="Calibri"/>
          <w:sz w:val="19"/>
        </w:rPr>
        <w:t>Core Service companion ASAR paketine bağlandı; 292/292 dosya ve 1986/1986 test, root build ve aynı profilde iki ardışık normal win-unpacked açılışı PASS verdi. Production Authenticode sertifikası bulunmadığından signed installer/kurulu yaşam döngüsü açık bırakıldı.</w:t>
      </w:r>
    </w:p>
    <w:p>
      <w:pPr>
        <w:pStyle w:val="Heading1"/>
        <w:keepNext/>
      </w:pPr>
      <w:r>
        <w:t>12. Tüm belge türü denetimi</w:t>
      </w:r>
    </w:p>
    <w:tbl>
      <w:tblPr>
        <w:tblStyle w:val="TableGrid"/>
        <w:tblW w:type="dxa" w:w="9360"/>
        <w:jc w:val="center"/>
        <w:tblLayout w:type="fixed"/>
        <w:tblLook w:firstColumn="1" w:firstRow="1" w:lastColumn="0" w:lastRow="0" w:noHBand="0" w:noVBand="1" w:val="04A0"/>
      </w:tblPr>
      <w:tblGrid>
        <w:gridCol w:w="2800"/>
        <w:gridCol w:w="6560"/>
      </w:tblGrid>
      <w:tr>
        <w:tc>
          <w:tcPr>
            <w:tcW w:type="dxa" w:w="2800"/>
            <w:shd w:fill="7C4D20"/>
            <w:vAlign w:val="center"/>
          </w:tcPr>
          <w:p>
            <w:pPr>
              <w:spacing w:after="0"/>
            </w:pPr>
            <w:r/>
            <w:r>
              <w:rPr>
                <w:rFonts w:ascii="Calibri" w:hAnsi="Calibri"/>
                <w:b/>
                <w:color w:val="FFFFFF"/>
                <w:sz w:val="16"/>
              </w:rPr>
              <w:t>Uzantı</w:t>
            </w:r>
          </w:p>
        </w:tc>
        <w:tc>
          <w:tcPr>
            <w:tcW w:type="dxa" w:w="6560"/>
            <w:shd w:fill="7C4D20"/>
            <w:vAlign w:val="center"/>
          </w:tcPr>
          <w:p>
            <w:pPr>
              <w:spacing w:after="0"/>
            </w:pPr>
            <w:r/>
            <w:r>
              <w:rPr>
                <w:rFonts w:ascii="Calibri" w:hAnsi="Calibri"/>
                <w:b/>
                <w:color w:val="FFFFFF"/>
                <w:sz w:val="16"/>
              </w:rPr>
              <w:t>Dosya</w:t>
            </w:r>
          </w:p>
        </w:tc>
      </w:tr>
      <w:tr>
        <w:tc>
          <w:tcPr>
            <w:tcW w:type="dxa" w:w="2800"/>
            <w:vAlign w:val="center"/>
          </w:tcPr>
          <w:p>
            <w:pPr>
              <w:spacing w:after="0"/>
            </w:pPr>
            <w:r/>
            <w:r>
              <w:rPr>
                <w:rFonts w:ascii="Calibri" w:hAnsi="Calibri"/>
                <w:b w:val="0"/>
                <w:color w:val="333537"/>
                <w:sz w:val="16"/>
              </w:rPr>
              <w:t>.csv</w:t>
            </w:r>
          </w:p>
        </w:tc>
        <w:tc>
          <w:tcPr>
            <w:tcW w:type="dxa" w:w="6560"/>
            <w:vAlign w:val="center"/>
          </w:tcPr>
          <w:p>
            <w:pPr>
              <w:spacing w:after="0"/>
            </w:pPr>
            <w:r/>
            <w:r>
              <w:rPr>
                <w:rFonts w:ascii="Calibri" w:hAnsi="Calibri"/>
                <w:b w:val="0"/>
                <w:color w:val="333537"/>
                <w:sz w:val="16"/>
              </w:rPr>
              <w:t>118</w:t>
            </w:r>
          </w:p>
        </w:tc>
      </w:tr>
      <w:tr>
        <w:tc>
          <w:tcPr>
            <w:tcW w:type="dxa" w:w="2800"/>
            <w:vAlign w:val="center"/>
          </w:tcPr>
          <w:p>
            <w:pPr>
              <w:spacing w:after="0"/>
            </w:pPr>
            <w:r/>
            <w:r>
              <w:rPr>
                <w:rFonts w:ascii="Calibri" w:hAnsi="Calibri"/>
                <w:b w:val="0"/>
                <w:color w:val="333537"/>
                <w:sz w:val="16"/>
              </w:rPr>
              <w:t>.docx</w:t>
            </w:r>
          </w:p>
        </w:tc>
        <w:tc>
          <w:tcPr>
            <w:tcW w:type="dxa" w:w="6560"/>
            <w:vAlign w:val="center"/>
          </w:tcPr>
          <w:p>
            <w:pPr>
              <w:spacing w:after="0"/>
            </w:pPr>
            <w:r/>
            <w:r>
              <w:rPr>
                <w:rFonts w:ascii="Calibri" w:hAnsi="Calibri"/>
                <w:b w:val="0"/>
                <w:color w:val="333537"/>
                <w:sz w:val="16"/>
              </w:rPr>
              <w:t>341</w:t>
            </w:r>
          </w:p>
        </w:tc>
      </w:tr>
      <w:tr>
        <w:tc>
          <w:tcPr>
            <w:tcW w:type="dxa" w:w="2800"/>
            <w:vAlign w:val="center"/>
          </w:tcPr>
          <w:p>
            <w:pPr>
              <w:spacing w:after="0"/>
            </w:pPr>
            <w:r/>
            <w:r>
              <w:rPr>
                <w:rFonts w:ascii="Calibri" w:hAnsi="Calibri"/>
                <w:b w:val="0"/>
                <w:color w:val="333537"/>
                <w:sz w:val="16"/>
              </w:rPr>
              <w:t>.html</w:t>
            </w:r>
          </w:p>
        </w:tc>
        <w:tc>
          <w:tcPr>
            <w:tcW w:type="dxa" w:w="6560"/>
            <w:vAlign w:val="center"/>
          </w:tcPr>
          <w:p>
            <w:pPr>
              <w:spacing w:after="0"/>
            </w:pPr>
            <w:r/>
            <w:r>
              <w:rPr>
                <w:rFonts w:ascii="Calibri" w:hAnsi="Calibri"/>
                <w:b w:val="0"/>
                <w:color w:val="333537"/>
                <w:sz w:val="16"/>
              </w:rPr>
              <w:t>14</w:t>
            </w:r>
          </w:p>
        </w:tc>
      </w:tr>
      <w:tr>
        <w:tc>
          <w:tcPr>
            <w:tcW w:type="dxa" w:w="2800"/>
            <w:vAlign w:val="center"/>
          </w:tcPr>
          <w:p>
            <w:pPr>
              <w:spacing w:after="0"/>
            </w:pPr>
            <w:r/>
            <w:r>
              <w:rPr>
                <w:rFonts w:ascii="Calibri" w:hAnsi="Calibri"/>
                <w:b w:val="0"/>
                <w:color w:val="333537"/>
                <w:sz w:val="16"/>
              </w:rPr>
              <w:t>.json</w:t>
            </w:r>
          </w:p>
        </w:tc>
        <w:tc>
          <w:tcPr>
            <w:tcW w:type="dxa" w:w="6560"/>
            <w:vAlign w:val="center"/>
          </w:tcPr>
          <w:p>
            <w:pPr>
              <w:spacing w:after="0"/>
            </w:pPr>
            <w:r/>
            <w:r>
              <w:rPr>
                <w:rFonts w:ascii="Calibri" w:hAnsi="Calibri"/>
                <w:b w:val="0"/>
                <w:color w:val="333537"/>
                <w:sz w:val="16"/>
              </w:rPr>
              <w:t>11512</w:t>
            </w:r>
          </w:p>
        </w:tc>
      </w:tr>
      <w:tr>
        <w:tc>
          <w:tcPr>
            <w:tcW w:type="dxa" w:w="2800"/>
            <w:vAlign w:val="center"/>
          </w:tcPr>
          <w:p>
            <w:pPr>
              <w:spacing w:after="0"/>
            </w:pPr>
            <w:r/>
            <w:r>
              <w:rPr>
                <w:rFonts w:ascii="Calibri" w:hAnsi="Calibri"/>
                <w:b w:val="0"/>
                <w:color w:val="333537"/>
                <w:sz w:val="16"/>
              </w:rPr>
              <w:t>.md</w:t>
            </w:r>
          </w:p>
        </w:tc>
        <w:tc>
          <w:tcPr>
            <w:tcW w:type="dxa" w:w="6560"/>
            <w:vAlign w:val="center"/>
          </w:tcPr>
          <w:p>
            <w:pPr>
              <w:spacing w:after="0"/>
            </w:pPr>
            <w:r/>
            <w:r>
              <w:rPr>
                <w:rFonts w:ascii="Calibri" w:hAnsi="Calibri"/>
                <w:b w:val="0"/>
                <w:color w:val="333537"/>
                <w:sz w:val="16"/>
              </w:rPr>
              <w:t>17405</w:t>
            </w:r>
          </w:p>
        </w:tc>
      </w:tr>
      <w:tr>
        <w:tc>
          <w:tcPr>
            <w:tcW w:type="dxa" w:w="2800"/>
            <w:vAlign w:val="center"/>
          </w:tcPr>
          <w:p>
            <w:pPr>
              <w:spacing w:after="0"/>
            </w:pPr>
            <w:r/>
            <w:r>
              <w:rPr>
                <w:rFonts w:ascii="Calibri" w:hAnsi="Calibri"/>
                <w:b w:val="0"/>
                <w:color w:val="333537"/>
                <w:sz w:val="16"/>
              </w:rPr>
              <w:t>.pdf</w:t>
            </w:r>
          </w:p>
        </w:tc>
        <w:tc>
          <w:tcPr>
            <w:tcW w:type="dxa" w:w="6560"/>
            <w:vAlign w:val="center"/>
          </w:tcPr>
          <w:p>
            <w:pPr>
              <w:spacing w:after="0"/>
            </w:pPr>
            <w:r/>
            <w:r>
              <w:rPr>
                <w:rFonts w:ascii="Calibri" w:hAnsi="Calibri"/>
                <w:b w:val="0"/>
                <w:color w:val="333537"/>
                <w:sz w:val="16"/>
              </w:rPr>
              <w:t>349</w:t>
            </w:r>
          </w:p>
        </w:tc>
      </w:tr>
      <w:tr>
        <w:tc>
          <w:tcPr>
            <w:tcW w:type="dxa" w:w="2800"/>
            <w:vAlign w:val="center"/>
          </w:tcPr>
          <w:p>
            <w:pPr>
              <w:spacing w:after="0"/>
            </w:pPr>
            <w:r/>
            <w:r>
              <w:rPr>
                <w:rFonts w:ascii="Calibri" w:hAnsi="Calibri"/>
                <w:b w:val="0"/>
                <w:color w:val="333537"/>
                <w:sz w:val="16"/>
              </w:rPr>
              <w:t>.rtf</w:t>
            </w:r>
          </w:p>
        </w:tc>
        <w:tc>
          <w:tcPr>
            <w:tcW w:type="dxa" w:w="6560"/>
            <w:vAlign w:val="center"/>
          </w:tcPr>
          <w:p>
            <w:pPr>
              <w:spacing w:after="0"/>
            </w:pPr>
            <w:r/>
            <w:r>
              <w:rPr>
                <w:rFonts w:ascii="Calibri" w:hAnsi="Calibri"/>
                <w:b w:val="0"/>
                <w:color w:val="333537"/>
                <w:sz w:val="16"/>
              </w:rPr>
              <w:t>14</w:t>
            </w:r>
          </w:p>
        </w:tc>
      </w:tr>
      <w:tr>
        <w:tc>
          <w:tcPr>
            <w:tcW w:type="dxa" w:w="2800"/>
            <w:vAlign w:val="center"/>
          </w:tcPr>
          <w:p>
            <w:pPr>
              <w:spacing w:after="0"/>
            </w:pPr>
            <w:r/>
            <w:r>
              <w:rPr>
                <w:rFonts w:ascii="Calibri" w:hAnsi="Calibri"/>
                <w:b w:val="0"/>
                <w:color w:val="333537"/>
                <w:sz w:val="16"/>
              </w:rPr>
              <w:t>.txt</w:t>
            </w:r>
          </w:p>
        </w:tc>
        <w:tc>
          <w:tcPr>
            <w:tcW w:type="dxa" w:w="6560"/>
            <w:vAlign w:val="center"/>
          </w:tcPr>
          <w:p>
            <w:pPr>
              <w:spacing w:after="0"/>
            </w:pPr>
            <w:r/>
            <w:r>
              <w:rPr>
                <w:rFonts w:ascii="Calibri" w:hAnsi="Calibri"/>
                <w:b w:val="0"/>
                <w:color w:val="333537"/>
                <w:sz w:val="16"/>
              </w:rPr>
              <w:t>358</w:t>
            </w:r>
          </w:p>
        </w:tc>
      </w:tr>
      <w:tr>
        <w:tc>
          <w:tcPr>
            <w:tcW w:type="dxa" w:w="2800"/>
            <w:vAlign w:val="center"/>
          </w:tcPr>
          <w:p>
            <w:pPr>
              <w:spacing w:after="0"/>
            </w:pPr>
            <w:r/>
            <w:r>
              <w:rPr>
                <w:rFonts w:ascii="Calibri" w:hAnsi="Calibri"/>
                <w:b w:val="0"/>
                <w:color w:val="333537"/>
                <w:sz w:val="16"/>
              </w:rPr>
              <w:t>.yaml</w:t>
            </w:r>
          </w:p>
        </w:tc>
        <w:tc>
          <w:tcPr>
            <w:tcW w:type="dxa" w:w="6560"/>
            <w:vAlign w:val="center"/>
          </w:tcPr>
          <w:p>
            <w:pPr>
              <w:spacing w:after="0"/>
            </w:pPr>
            <w:r/>
            <w:r>
              <w:rPr>
                <w:rFonts w:ascii="Calibri" w:hAnsi="Calibri"/>
                <w:b w:val="0"/>
                <w:color w:val="333537"/>
                <w:sz w:val="16"/>
              </w:rPr>
              <w:t>12</w:t>
            </w:r>
          </w:p>
        </w:tc>
      </w:tr>
      <w:tr>
        <w:tc>
          <w:tcPr>
            <w:tcW w:type="dxa" w:w="2800"/>
            <w:vAlign w:val="center"/>
          </w:tcPr>
          <w:p>
            <w:pPr>
              <w:spacing w:after="0"/>
            </w:pPr>
            <w:r/>
            <w:r>
              <w:rPr>
                <w:rFonts w:ascii="Calibri" w:hAnsi="Calibri"/>
                <w:b w:val="0"/>
                <w:color w:val="333537"/>
                <w:sz w:val="16"/>
              </w:rPr>
              <w:t>.yml</w:t>
            </w:r>
          </w:p>
        </w:tc>
        <w:tc>
          <w:tcPr>
            <w:tcW w:type="dxa" w:w="6560"/>
            <w:vAlign w:val="center"/>
          </w:tcPr>
          <w:p>
            <w:pPr>
              <w:spacing w:after="0"/>
            </w:pPr>
            <w:r/>
            <w:r>
              <w:rPr>
                <w:rFonts w:ascii="Calibri" w:hAnsi="Calibri"/>
                <w:b w:val="0"/>
                <w:color w:val="333537"/>
                <w:sz w:val="16"/>
              </w:rPr>
              <w:t>28</w:t>
            </w:r>
          </w:p>
        </w:tc>
      </w:tr>
    </w:tbl>
    <w:p>
      <w:pPr>
        <w:spacing w:after="120" w:line="300" w:lineRule="auto"/>
      </w:pPr>
      <w:r>
        <w:rPr>
          <w:rFonts w:ascii="Calibri" w:hAnsi="Calibri"/>
          <w:i w:val="0"/>
        </w:rPr>
        <w:t>Kök taramada 30151 belge/config/metin dosyası bulundu; 30151 okunabilir, 0 sorunlu. Tam yol ve SHA-256 listesi artifacts/manifests/ALL_PROJECT_DOCUMENT_FORMAT_AUDIT.json içindedir.</w:t>
      </w:r>
    </w:p>
    <w:p>
      <w:r>
        <w:br w:type="page"/>
      </w:r>
    </w:p>
    <w:p>
      <w:pPr>
        <w:pStyle w:val="Heading1"/>
        <w:keepNext/>
      </w:pPr>
      <w:r>
        <w:t>13. DEC karar dizini — eksiksiz</w:t>
      </w:r>
    </w:p>
    <w:tbl>
      <w:tblPr>
        <w:tblStyle w:val="TableGrid"/>
        <w:tblW w:type="dxa" w:w="9360"/>
        <w:jc w:val="center"/>
        <w:tblLayout w:type="fixed"/>
        <w:tblLook w:firstColumn="1" w:firstRow="1" w:lastColumn="0" w:lastRow="0" w:noHBand="0" w:noVBand="1" w:val="04A0"/>
      </w:tblPr>
      <w:tblGrid>
        <w:gridCol w:w="850"/>
        <w:gridCol w:w="4140"/>
        <w:gridCol w:w="1500"/>
        <w:gridCol w:w="2870"/>
      </w:tblGrid>
      <w:tr>
        <w:tc>
          <w:tcPr>
            <w:tcW w:type="dxa" w:w="850"/>
            <w:shd w:fill="7C4D20"/>
            <w:vAlign w:val="center"/>
          </w:tcPr>
          <w:p>
            <w:pPr>
              <w:spacing w:after="0"/>
            </w:pPr>
            <w:r/>
            <w:r>
              <w:rPr>
                <w:rFonts w:ascii="Calibri" w:hAnsi="Calibri"/>
                <w:b/>
                <w:color w:val="FFFFFF"/>
                <w:sz w:val="13"/>
              </w:rPr>
              <w:t>ID</w:t>
            </w:r>
          </w:p>
        </w:tc>
        <w:tc>
          <w:tcPr>
            <w:tcW w:type="dxa" w:w="4140"/>
            <w:shd w:fill="7C4D20"/>
            <w:vAlign w:val="center"/>
          </w:tcPr>
          <w:p>
            <w:pPr>
              <w:spacing w:after="0"/>
            </w:pPr>
            <w:r/>
            <w:r>
              <w:rPr>
                <w:rFonts w:ascii="Calibri" w:hAnsi="Calibri"/>
                <w:b/>
                <w:color w:val="FFFFFF"/>
                <w:sz w:val="13"/>
              </w:rPr>
              <w:t>Karar</w:t>
            </w:r>
          </w:p>
        </w:tc>
        <w:tc>
          <w:tcPr>
            <w:tcW w:type="dxa" w:w="1500"/>
            <w:shd w:fill="7C4D20"/>
            <w:vAlign w:val="center"/>
          </w:tcPr>
          <w:p>
            <w:pPr>
              <w:spacing w:after="0"/>
            </w:pPr>
            <w:r/>
            <w:r>
              <w:rPr>
                <w:rFonts w:ascii="Calibri" w:hAnsi="Calibri"/>
                <w:b/>
                <w:color w:val="FFFFFF"/>
                <w:sz w:val="13"/>
              </w:rPr>
              <w:t>Durum</w:t>
            </w:r>
          </w:p>
        </w:tc>
        <w:tc>
          <w:tcPr>
            <w:tcW w:type="dxa" w:w="2870"/>
            <w:shd w:fill="7C4D20"/>
            <w:vAlign w:val="center"/>
          </w:tcPr>
          <w:p>
            <w:pPr>
              <w:spacing w:after="0"/>
            </w:pPr>
            <w:r/>
            <w:r>
              <w:rPr>
                <w:rFonts w:ascii="Calibri" w:hAnsi="Calibri"/>
                <w:b/>
                <w:color w:val="FFFFFF"/>
                <w:sz w:val="13"/>
              </w:rPr>
              <w:t>Dosya</w:t>
            </w:r>
          </w:p>
        </w:tc>
      </w:tr>
      <w:tr>
        <w:tc>
          <w:tcPr>
            <w:tcW w:type="dxa" w:w="850"/>
            <w:vAlign w:val="center"/>
          </w:tcPr>
          <w:p>
            <w:pPr>
              <w:spacing w:after="0"/>
            </w:pPr>
            <w:r/>
            <w:r>
              <w:rPr>
                <w:rFonts w:ascii="Calibri" w:hAnsi="Calibri"/>
                <w:b w:val="0"/>
                <w:color w:val="333537"/>
                <w:sz w:val="13"/>
              </w:rPr>
              <w:t>DEC-090</w:t>
            </w:r>
          </w:p>
        </w:tc>
        <w:tc>
          <w:tcPr>
            <w:tcW w:type="dxa" w:w="4140"/>
            <w:vAlign w:val="center"/>
          </w:tcPr>
          <w:p>
            <w:pPr>
              <w:spacing w:after="0"/>
            </w:pPr>
            <w:r/>
            <w:r>
              <w:rPr>
                <w:rFonts w:ascii="Calibri" w:hAnsi="Calibri"/>
                <w:b w:val="0"/>
                <w:color w:val="333537"/>
                <w:sz w:val="13"/>
              </w:rPr>
              <w:t>DEC-090</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docs/decisions/DEC-090-clean-backup-rewrite-propagation-status-integrity.md</w:t>
            </w:r>
          </w:p>
        </w:tc>
      </w:tr>
      <w:tr>
        <w:tc>
          <w:tcPr>
            <w:tcW w:type="dxa" w:w="850"/>
            <w:vAlign w:val="center"/>
          </w:tcPr>
          <w:p>
            <w:pPr>
              <w:spacing w:after="0"/>
            </w:pPr>
            <w:r/>
            <w:r>
              <w:rPr>
                <w:rFonts w:ascii="Calibri" w:hAnsi="Calibri"/>
                <w:b w:val="0"/>
                <w:color w:val="333537"/>
                <w:sz w:val="13"/>
              </w:rPr>
              <w:t>DEC-091</w:t>
            </w:r>
          </w:p>
        </w:tc>
        <w:tc>
          <w:tcPr>
            <w:tcW w:type="dxa" w:w="4140"/>
            <w:vAlign w:val="center"/>
          </w:tcPr>
          <w:p>
            <w:pPr>
              <w:spacing w:after="0"/>
            </w:pPr>
            <w:r/>
            <w:r>
              <w:rPr>
                <w:rFonts w:ascii="Calibri" w:hAnsi="Calibri"/>
                <w:b w:val="0"/>
                <w:color w:val="333537"/>
                <w:sz w:val="13"/>
              </w:rPr>
              <w:t>DEC-091 — Temiz yedek yayılım sonucu tekil kullanımı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docs/decisions/DEC-091-clean-backup-rewrite-propagation-uniqueness.md</w:t>
            </w:r>
          </w:p>
        </w:tc>
      </w:tr>
      <w:tr>
        <w:tc>
          <w:tcPr>
            <w:tcW w:type="dxa" w:w="850"/>
            <w:vAlign w:val="center"/>
          </w:tcPr>
          <w:p>
            <w:pPr>
              <w:spacing w:after="0"/>
            </w:pPr>
            <w:r/>
            <w:r>
              <w:rPr>
                <w:rFonts w:ascii="Calibri" w:hAnsi="Calibri"/>
                <w:b w:val="0"/>
                <w:color w:val="333537"/>
                <w:sz w:val="13"/>
              </w:rPr>
              <w:t>DEC-092</w:t>
            </w:r>
          </w:p>
        </w:tc>
        <w:tc>
          <w:tcPr>
            <w:tcW w:type="dxa" w:w="4140"/>
            <w:vAlign w:val="center"/>
          </w:tcPr>
          <w:p>
            <w:pPr>
              <w:spacing w:after="0"/>
            </w:pPr>
            <w:r/>
            <w:r>
              <w:rPr>
                <w:rFonts w:ascii="Calibri" w:hAnsi="Calibri"/>
                <w:b w:val="0"/>
                <w:color w:val="333537"/>
                <w:sz w:val="13"/>
              </w:rPr>
              <w:t>DEC-092 — Clean backup rewrite propagation reference permanence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docs/decisions/DEC-092-clean-backup-rewrite-propagation-reference-permanence.md</w:t>
            </w:r>
          </w:p>
        </w:tc>
      </w:tr>
      <w:tr>
        <w:tc>
          <w:tcPr>
            <w:tcW w:type="dxa" w:w="850"/>
            <w:vAlign w:val="center"/>
          </w:tcPr>
          <w:p>
            <w:pPr>
              <w:spacing w:after="0"/>
            </w:pPr>
            <w:r/>
            <w:r>
              <w:rPr>
                <w:rFonts w:ascii="Calibri" w:hAnsi="Calibri"/>
                <w:b w:val="0"/>
                <w:color w:val="333537"/>
                <w:sz w:val="13"/>
              </w:rPr>
              <w:t>DEC-093</w:t>
            </w:r>
          </w:p>
        </w:tc>
        <w:tc>
          <w:tcPr>
            <w:tcW w:type="dxa" w:w="4140"/>
            <w:vAlign w:val="center"/>
          </w:tcPr>
          <w:p>
            <w:pPr>
              <w:spacing w:after="0"/>
            </w:pPr>
            <w:r/>
            <w:r>
              <w:rPr>
                <w:rFonts w:ascii="Calibri" w:hAnsi="Calibri"/>
                <w:b w:val="0"/>
                <w:color w:val="333537"/>
                <w:sz w:val="13"/>
              </w:rPr>
              <w:t>DEC-093 — Bağlı propagation kanıtının değiştirilemezliği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docs/decisions/DEC-093-clean-backup-rewrite-propagation-evidence-immutability.md</w:t>
            </w:r>
          </w:p>
        </w:tc>
      </w:tr>
      <w:tr>
        <w:tc>
          <w:tcPr>
            <w:tcW w:type="dxa" w:w="850"/>
            <w:vAlign w:val="center"/>
          </w:tcPr>
          <w:p>
            <w:pPr>
              <w:spacing w:after="0"/>
            </w:pPr>
            <w:r/>
            <w:r>
              <w:rPr>
                <w:rFonts w:ascii="Calibri" w:hAnsi="Calibri"/>
                <w:b w:val="0"/>
                <w:color w:val="333537"/>
                <w:sz w:val="13"/>
              </w:rPr>
              <w:t>DEC-094</w:t>
            </w:r>
          </w:p>
        </w:tc>
        <w:tc>
          <w:tcPr>
            <w:tcW w:type="dxa" w:w="4140"/>
            <w:vAlign w:val="center"/>
          </w:tcPr>
          <w:p>
            <w:pPr>
              <w:spacing w:after="0"/>
            </w:pPr>
            <w:r/>
            <w:r>
              <w:rPr>
                <w:rFonts w:ascii="Calibri" w:hAnsi="Calibri"/>
                <w:b w:val="0"/>
                <w:color w:val="333537"/>
                <w:sz w:val="13"/>
              </w:rPr>
              <w:t>DEC-094 — Bağlı propagation kanıtında REPLACE kaçışını kapatma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docs/decisions/DEC-094-clean-backup-rewrite-propagation-replace-bypass-protection.md</w:t>
            </w:r>
          </w:p>
        </w:tc>
      </w:tr>
      <w:tr>
        <w:tc>
          <w:tcPr>
            <w:tcW w:type="dxa" w:w="850"/>
            <w:vAlign w:val="center"/>
          </w:tcPr>
          <w:p>
            <w:pPr>
              <w:spacing w:after="0"/>
            </w:pPr>
            <w:r/>
            <w:r>
              <w:rPr>
                <w:rFonts w:ascii="Calibri" w:hAnsi="Calibri"/>
                <w:b w:val="0"/>
                <w:color w:val="333537"/>
                <w:sz w:val="13"/>
              </w:rPr>
              <w:t>DEC-097</w:t>
            </w:r>
          </w:p>
        </w:tc>
        <w:tc>
          <w:tcPr>
            <w:tcW w:type="dxa" w:w="4140"/>
            <w:vAlign w:val="center"/>
          </w:tcPr>
          <w:p>
            <w:pPr>
              <w:spacing w:after="0"/>
            </w:pPr>
            <w:r/>
            <w:r>
              <w:rPr>
                <w:rFonts w:ascii="Calibri" w:hAnsi="Calibri"/>
                <w:b w:val="0"/>
                <w:color w:val="333537"/>
                <w:sz w:val="13"/>
              </w:rPr>
              <w:t>DEC-097 — Her build sonrası sohbet kapasitesi ölçülür; %90 kullanımda yeni build durur</w:t>
            </w:r>
          </w:p>
        </w:tc>
        <w:tc>
          <w:tcPr>
            <w:tcW w:type="dxa" w:w="1500"/>
            <w:vAlign w:val="center"/>
          </w:tcPr>
          <w:p>
            <w:pPr>
              <w:spacing w:after="0"/>
            </w:pPr>
            <w:r/>
            <w:r>
              <w:rPr>
                <w:rFonts w:ascii="Calibri" w:hAnsi="Calibri"/>
                <w:b w:val="0"/>
                <w:color w:val="333537"/>
                <w:sz w:val="13"/>
              </w:rPr>
              <w:t>** Aktif</w:t>
            </w:r>
          </w:p>
        </w:tc>
        <w:tc>
          <w:tcPr>
            <w:tcW w:type="dxa" w:w="2870"/>
            <w:vAlign w:val="center"/>
          </w:tcPr>
          <w:p>
            <w:pPr>
              <w:spacing w:after="0"/>
            </w:pPr>
            <w:r/>
            <w:r>
              <w:rPr>
                <w:rFonts w:ascii="Calibri" w:hAnsi="Calibri"/>
                <w:b w:val="0"/>
                <w:color w:val="333537"/>
                <w:sz w:val="13"/>
              </w:rPr>
              <w:t>docs/decisions/DEC-097-conversation-context-capacity-handoff-gate.md</w:t>
            </w:r>
          </w:p>
        </w:tc>
      </w:tr>
      <w:tr>
        <w:tc>
          <w:tcPr>
            <w:tcW w:type="dxa" w:w="850"/>
            <w:vAlign w:val="center"/>
          </w:tcPr>
          <w:p>
            <w:pPr>
              <w:spacing w:after="0"/>
            </w:pPr>
            <w:r/>
            <w:r>
              <w:rPr>
                <w:rFonts w:ascii="Calibri" w:hAnsi="Calibri"/>
                <w:b w:val="0"/>
                <w:color w:val="333537"/>
                <w:sz w:val="13"/>
              </w:rPr>
              <w:t>DEC-098</w:t>
            </w:r>
          </w:p>
        </w:tc>
        <w:tc>
          <w:tcPr>
            <w:tcW w:type="dxa" w:w="4140"/>
            <w:vAlign w:val="center"/>
          </w:tcPr>
          <w:p>
            <w:pPr>
              <w:spacing w:after="0"/>
            </w:pPr>
            <w:r/>
            <w:r>
              <w:rPr>
                <w:rFonts w:ascii="Calibri" w:hAnsi="Calibri"/>
                <w:b w:val="0"/>
                <w:color w:val="333537"/>
                <w:sz w:val="13"/>
              </w:rPr>
              <w:t>DEC-098 — Proje Anayasası V3 ve kaynak/kimlik/görsel yönetişimi</w:t>
            </w:r>
          </w:p>
        </w:tc>
        <w:tc>
          <w:tcPr>
            <w:tcW w:type="dxa" w:w="1500"/>
            <w:vAlign w:val="center"/>
          </w:tcPr>
          <w:p>
            <w:pPr>
              <w:spacing w:after="0"/>
            </w:pPr>
            <w:r/>
            <w:r>
              <w:rPr>
                <w:rFonts w:ascii="Calibri" w:hAnsi="Calibri"/>
                <w:b w:val="0"/>
                <w:color w:val="333537"/>
                <w:sz w:val="13"/>
              </w:rPr>
              <w:t>Kabul edildi</w:t>
            </w:r>
          </w:p>
        </w:tc>
        <w:tc>
          <w:tcPr>
            <w:tcW w:type="dxa" w:w="2870"/>
            <w:vAlign w:val="center"/>
          </w:tcPr>
          <w:p>
            <w:pPr>
              <w:spacing w:after="0"/>
            </w:pPr>
            <w:r/>
            <w:r>
              <w:rPr>
                <w:rFonts w:ascii="Calibri" w:hAnsi="Calibri"/>
                <w:b w:val="0"/>
                <w:color w:val="333537"/>
                <w:sz w:val="13"/>
              </w:rPr>
              <w:t>docs/decisions/DEC-098-project-constitution-v3.md</w:t>
            </w:r>
          </w:p>
        </w:tc>
      </w:tr>
      <w:tr>
        <w:tc>
          <w:tcPr>
            <w:tcW w:type="dxa" w:w="850"/>
            <w:vAlign w:val="center"/>
          </w:tcPr>
          <w:p>
            <w:pPr>
              <w:spacing w:after="0"/>
            </w:pPr>
            <w:r/>
            <w:r>
              <w:rPr>
                <w:rFonts w:ascii="Calibri" w:hAnsi="Calibri"/>
                <w:b w:val="0"/>
                <w:color w:val="333537"/>
                <w:sz w:val="13"/>
              </w:rPr>
              <w:t>DEC-099</w:t>
            </w:r>
          </w:p>
        </w:tc>
        <w:tc>
          <w:tcPr>
            <w:tcW w:type="dxa" w:w="4140"/>
            <w:vAlign w:val="center"/>
          </w:tcPr>
          <w:p>
            <w:pPr>
              <w:spacing w:after="0"/>
            </w:pPr>
            <w:r/>
            <w:r>
              <w:rPr>
                <w:rFonts w:ascii="Calibri" w:hAnsi="Calibri"/>
                <w:b w:val="0"/>
                <w:color w:val="333537"/>
                <w:sz w:val="13"/>
              </w:rPr>
              <w:t>DEC-099 — Güvenli ilk kurulum ve kullanıcı veri kasası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docs/decisions/DEC-099-secure-onboarding-and-user-data-vault.md</w:t>
            </w:r>
          </w:p>
        </w:tc>
      </w:tr>
      <w:tr>
        <w:tc>
          <w:tcPr>
            <w:tcW w:type="dxa" w:w="850"/>
            <w:vAlign w:val="center"/>
          </w:tcPr>
          <w:p>
            <w:pPr>
              <w:spacing w:after="0"/>
            </w:pPr>
            <w:r/>
            <w:r>
              <w:rPr>
                <w:rFonts w:ascii="Calibri" w:hAnsi="Calibri"/>
                <w:b w:val="0"/>
                <w:color w:val="333537"/>
                <w:sz w:val="13"/>
              </w:rPr>
              <w:t>DEC-100</w:t>
            </w:r>
          </w:p>
        </w:tc>
        <w:tc>
          <w:tcPr>
            <w:tcW w:type="dxa" w:w="4140"/>
            <w:vAlign w:val="center"/>
          </w:tcPr>
          <w:p>
            <w:pPr>
              <w:spacing w:after="0"/>
            </w:pPr>
            <w:r/>
            <w:r>
              <w:rPr>
                <w:rFonts w:ascii="Calibri" w:hAnsi="Calibri"/>
                <w:b w:val="0"/>
                <w:color w:val="333537"/>
                <w:sz w:val="13"/>
              </w:rPr>
              <w:t>DEC-100 — Terminal temiz-yedek çalışma defteri değişmezliği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docs/decisions/DEC-100-clean-backup-terminal-ledger-immutability.md</w:t>
            </w:r>
          </w:p>
        </w:tc>
      </w:tr>
      <w:tr>
        <w:tc>
          <w:tcPr>
            <w:tcW w:type="dxa" w:w="850"/>
            <w:vAlign w:val="center"/>
          </w:tcPr>
          <w:p>
            <w:pPr>
              <w:spacing w:after="0"/>
            </w:pPr>
            <w:r/>
            <w:r>
              <w:rPr>
                <w:rFonts w:ascii="Calibri" w:hAnsi="Calibri"/>
                <w:b w:val="0"/>
                <w:color w:val="333537"/>
                <w:sz w:val="13"/>
              </w:rPr>
              <w:t>DEC-101</w:t>
            </w:r>
          </w:p>
        </w:tc>
        <w:tc>
          <w:tcPr>
            <w:tcW w:type="dxa" w:w="4140"/>
            <w:vAlign w:val="center"/>
          </w:tcPr>
          <w:p>
            <w:pPr>
              <w:spacing w:after="0"/>
            </w:pPr>
            <w:r/>
            <w:r>
              <w:rPr>
                <w:rFonts w:ascii="Calibri" w:hAnsi="Calibri"/>
                <w:b w:val="0"/>
                <w:color w:val="333537"/>
                <w:sz w:val="13"/>
              </w:rPr>
              <w:t>DEC-101 - Temiz kurulum dış erişim handoff kararı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docs/decisions/DEC-101-clean-install-external-access-handoff.md</w:t>
            </w:r>
          </w:p>
        </w:tc>
      </w:tr>
      <w:tr>
        <w:tc>
          <w:tcPr>
            <w:tcW w:type="dxa" w:w="850"/>
            <w:vAlign w:val="center"/>
          </w:tcPr>
          <w:p>
            <w:pPr>
              <w:spacing w:after="0"/>
            </w:pPr>
            <w:r/>
            <w:r>
              <w:rPr>
                <w:rFonts w:ascii="Calibri" w:hAnsi="Calibri"/>
                <w:b w:val="0"/>
                <w:color w:val="333537"/>
                <w:sz w:val="13"/>
              </w:rPr>
              <w:t>DEC-102</w:t>
            </w:r>
          </w:p>
        </w:tc>
        <w:tc>
          <w:tcPr>
            <w:tcW w:type="dxa" w:w="4140"/>
            <w:vAlign w:val="center"/>
          </w:tcPr>
          <w:p>
            <w:pPr>
              <w:spacing w:after="0"/>
            </w:pPr>
            <w:r/>
            <w:r>
              <w:rPr>
                <w:rFonts w:ascii="Calibri" w:hAnsi="Calibri"/>
                <w:b w:val="0"/>
                <w:color w:val="333537"/>
                <w:sz w:val="13"/>
              </w:rPr>
              <w:t>DEC-102 — Onaylı UI görsel baseline düzeltmesi</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docs/decisions/DEC-102-approved-ui-visual-baseline-correction.md</w:t>
            </w:r>
          </w:p>
        </w:tc>
      </w:tr>
      <w:tr>
        <w:tc>
          <w:tcPr>
            <w:tcW w:type="dxa" w:w="850"/>
            <w:vAlign w:val="center"/>
          </w:tcPr>
          <w:p>
            <w:pPr>
              <w:spacing w:after="0"/>
            </w:pPr>
            <w:r/>
            <w:r>
              <w:rPr>
                <w:rFonts w:ascii="Calibri" w:hAnsi="Calibri"/>
                <w:b w:val="0"/>
                <w:color w:val="333537"/>
                <w:sz w:val="13"/>
              </w:rPr>
              <w:t>DEC-103</w:t>
            </w:r>
          </w:p>
        </w:tc>
        <w:tc>
          <w:tcPr>
            <w:tcW w:type="dxa" w:w="4140"/>
            <w:vAlign w:val="center"/>
          </w:tcPr>
          <w:p>
            <w:pPr>
              <w:spacing w:after="0"/>
            </w:pPr>
            <w:r/>
            <w:r>
              <w:rPr>
                <w:rFonts w:ascii="Calibri" w:hAnsi="Calibri"/>
                <w:b w:val="0"/>
                <w:color w:val="333537"/>
                <w:sz w:val="13"/>
              </w:rPr>
              <w:t>DEC-103 — Bellek-içi aktif kullanıcı verisi oturumu</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docs/decisions/DEC-103-memory-resident-user-data-session.md</w:t>
            </w:r>
          </w:p>
        </w:tc>
      </w:tr>
      <w:tr>
        <w:tc>
          <w:tcPr>
            <w:tcW w:type="dxa" w:w="850"/>
            <w:vAlign w:val="center"/>
          </w:tcPr>
          <w:p>
            <w:pPr>
              <w:spacing w:after="0"/>
            </w:pPr>
            <w:r/>
            <w:r>
              <w:rPr>
                <w:rFonts w:ascii="Calibri" w:hAnsi="Calibri"/>
                <w:b w:val="0"/>
                <w:color w:val="333537"/>
                <w:sz w:val="13"/>
              </w:rPr>
              <w:t>DEC-104</w:t>
            </w:r>
          </w:p>
        </w:tc>
        <w:tc>
          <w:tcPr>
            <w:tcW w:type="dxa" w:w="4140"/>
            <w:vAlign w:val="center"/>
          </w:tcPr>
          <w:p>
            <w:pPr>
              <w:spacing w:after="0"/>
            </w:pPr>
            <w:r/>
            <w:r>
              <w:rPr>
                <w:rFonts w:ascii="Calibri" w:hAnsi="Calibri"/>
                <w:b w:val="0"/>
                <w:color w:val="333537"/>
                <w:sz w:val="13"/>
              </w:rPr>
              <w:t>DEC-104 — Hassas yan-artifactlar varsayılan şifreli kapsayıcıdır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docs/decisions/DEC-104-protected-side-artifact-encryption.md</w:t>
            </w:r>
          </w:p>
        </w:tc>
      </w:tr>
      <w:tr>
        <w:tc>
          <w:tcPr>
            <w:tcW w:type="dxa" w:w="850"/>
            <w:vAlign w:val="center"/>
          </w:tcPr>
          <w:p>
            <w:pPr>
              <w:spacing w:after="0"/>
            </w:pPr>
            <w:r/>
            <w:r>
              <w:rPr>
                <w:rFonts w:ascii="Calibri" w:hAnsi="Calibri"/>
                <w:b w:val="0"/>
                <w:color w:val="333537"/>
                <w:sz w:val="13"/>
              </w:rPr>
              <w:t>DEC-105</w:t>
            </w:r>
          </w:p>
        </w:tc>
        <w:tc>
          <w:tcPr>
            <w:tcW w:type="dxa" w:w="4140"/>
            <w:vAlign w:val="center"/>
          </w:tcPr>
          <w:p>
            <w:pPr>
              <w:spacing w:after="0"/>
            </w:pPr>
            <w:r/>
            <w:r>
              <w:rPr>
                <w:rFonts w:ascii="Calibri" w:hAnsi="Calibri"/>
                <w:b w:val="0"/>
                <w:color w:val="333537"/>
                <w:sz w:val="13"/>
              </w:rPr>
              <w:t>DEC-105 — Uzun işler bağımsız doğrulanabilir adımlara bölünür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docs/decisions/DEC-105-pr171-atomic-work-segmentation.md</w:t>
            </w:r>
          </w:p>
        </w:tc>
      </w:tr>
      <w:tr>
        <w:tc>
          <w:tcPr>
            <w:tcW w:type="dxa" w:w="850"/>
            <w:vAlign w:val="center"/>
          </w:tcPr>
          <w:p>
            <w:pPr>
              <w:spacing w:after="0"/>
            </w:pPr>
            <w:r/>
            <w:r>
              <w:rPr>
                <w:rFonts w:ascii="Calibri" w:hAnsi="Calibri"/>
                <w:b w:val="0"/>
                <w:color w:val="333537"/>
                <w:sz w:val="13"/>
              </w:rPr>
              <w:t>DEC-106</w:t>
            </w:r>
          </w:p>
        </w:tc>
        <w:tc>
          <w:tcPr>
            <w:tcW w:type="dxa" w:w="4140"/>
            <w:vAlign w:val="center"/>
          </w:tcPr>
          <w:p>
            <w:pPr>
              <w:spacing w:after="0"/>
            </w:pPr>
            <w:r/>
            <w:r>
              <w:rPr>
                <w:rFonts w:ascii="Calibri" w:hAnsi="Calibri"/>
                <w:b w:val="0"/>
                <w:color w:val="333537"/>
                <w:sz w:val="13"/>
              </w:rPr>
              <w:t>DEC-106 — OPEN-021/022 kapanışı gerçek Windows kanıt zinciri gerektirir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docs/decisions/DEC-106-windows-security-evidence-harness.md</w:t>
            </w:r>
          </w:p>
        </w:tc>
      </w:tr>
      <w:tr>
        <w:tc>
          <w:tcPr>
            <w:tcW w:type="dxa" w:w="850"/>
            <w:vAlign w:val="center"/>
          </w:tcPr>
          <w:p>
            <w:pPr>
              <w:spacing w:after="0"/>
            </w:pPr>
            <w:r/>
            <w:r>
              <w:rPr>
                <w:rFonts w:ascii="Calibri" w:hAnsi="Calibri"/>
                <w:b w:val="0"/>
                <w:color w:val="333537"/>
                <w:sz w:val="13"/>
              </w:rPr>
              <w:t>DEC-107</w:t>
            </w:r>
          </w:p>
        </w:tc>
        <w:tc>
          <w:tcPr>
            <w:tcW w:type="dxa" w:w="4140"/>
            <w:vAlign w:val="center"/>
          </w:tcPr>
          <w:p>
            <w:pPr>
              <w:spacing w:after="0"/>
            </w:pPr>
            <w:r/>
            <w:r>
              <w:rPr>
                <w:rFonts w:ascii="Calibri" w:hAnsi="Calibri"/>
                <w:b w:val="0"/>
                <w:color w:val="333537"/>
                <w:sz w:val="13"/>
              </w:rPr>
              <w:t>DEC-107 — Windows kanıt kabulü exact kaynak snapshotına bağlanır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docs/decisions/DEC-107-windows-evidence-intake-source-binding.md</w:t>
            </w:r>
          </w:p>
        </w:tc>
      </w:tr>
      <w:tr>
        <w:tc>
          <w:tcPr>
            <w:tcW w:type="dxa" w:w="850"/>
            <w:vAlign w:val="center"/>
          </w:tcPr>
          <w:p>
            <w:pPr>
              <w:spacing w:after="0"/>
            </w:pPr>
            <w:r/>
            <w:r>
              <w:rPr>
                <w:rFonts w:ascii="Calibri" w:hAnsi="Calibri"/>
                <w:b w:val="0"/>
                <w:color w:val="333537"/>
                <w:sz w:val="13"/>
              </w:rPr>
              <w:t>DEC-108</w:t>
            </w:r>
          </w:p>
        </w:tc>
        <w:tc>
          <w:tcPr>
            <w:tcW w:type="dxa" w:w="4140"/>
            <w:vAlign w:val="center"/>
          </w:tcPr>
          <w:p>
            <w:pPr>
              <w:spacing w:after="0"/>
            </w:pPr>
            <w:r/>
            <w:r>
              <w:rPr>
                <w:rFonts w:ascii="Calibri" w:hAnsi="Calibri"/>
                <w:b w:val="0"/>
                <w:color w:val="333537"/>
                <w:sz w:val="13"/>
              </w:rPr>
              <w:t>DEC-108 — OPEN-021 gerçek Windows kapanışı ayrı ve dar bir kapıdır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docs/decisions/DEC-108-open021-isolated-windows-closure-gate.md</w:t>
            </w:r>
          </w:p>
        </w:tc>
      </w:tr>
      <w:tr>
        <w:tc>
          <w:tcPr>
            <w:tcW w:type="dxa" w:w="850"/>
            <w:vAlign w:val="center"/>
          </w:tcPr>
          <w:p>
            <w:pPr>
              <w:spacing w:after="0"/>
            </w:pPr>
            <w:r/>
            <w:r>
              <w:rPr>
                <w:rFonts w:ascii="Calibri" w:hAnsi="Calibri"/>
                <w:b w:val="0"/>
                <w:color w:val="333537"/>
                <w:sz w:val="13"/>
              </w:rPr>
              <w:t>DEC-109</w:t>
            </w:r>
          </w:p>
        </w:tc>
        <w:tc>
          <w:tcPr>
            <w:tcW w:type="dxa" w:w="4140"/>
            <w:vAlign w:val="center"/>
          </w:tcPr>
          <w:p>
            <w:pPr>
              <w:spacing w:after="0"/>
            </w:pPr>
            <w:r/>
            <w:r>
              <w:rPr>
                <w:rFonts w:ascii="Calibri" w:hAnsi="Calibri"/>
                <w:b w:val="0"/>
                <w:color w:val="333537"/>
                <w:sz w:val="13"/>
              </w:rPr>
              <w:t>DEC-109 — OPEN-022 gerçek Windows kapanışı ayrı ve dar bir kapıdır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docs/decisions/DEC-109-open022-isolated-windows-closure-gate.md</w:t>
            </w:r>
          </w:p>
        </w:tc>
      </w:tr>
      <w:tr>
        <w:tc>
          <w:tcPr>
            <w:tcW w:type="dxa" w:w="850"/>
            <w:vAlign w:val="center"/>
          </w:tcPr>
          <w:p>
            <w:pPr>
              <w:spacing w:after="0"/>
            </w:pPr>
            <w:r/>
            <w:r>
              <w:rPr>
                <w:rFonts w:ascii="Calibri" w:hAnsi="Calibri"/>
                <w:b w:val="0"/>
                <w:color w:val="333537"/>
                <w:sz w:val="13"/>
              </w:rPr>
              <w:t>DEC-110</w:t>
            </w:r>
          </w:p>
        </w:tc>
        <w:tc>
          <w:tcPr>
            <w:tcW w:type="dxa" w:w="4140"/>
            <w:vAlign w:val="center"/>
          </w:tcPr>
          <w:p>
            <w:pPr>
              <w:spacing w:after="0"/>
            </w:pPr>
            <w:r/>
            <w:r>
              <w:rPr>
                <w:rFonts w:ascii="Calibri" w:hAnsi="Calibri"/>
                <w:b w:val="0"/>
                <w:color w:val="333537"/>
                <w:sz w:val="13"/>
              </w:rPr>
              <w:t>DEC-110 — OPEN-021 ve OPEN-022 tek Build219 Windows güvenlik kapanışında birleştirilir</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docs/decisions/DEC-110-unified-bronze-windows-security-closure.md</w:t>
            </w:r>
          </w:p>
        </w:tc>
      </w:tr>
      <w:tr>
        <w:tc>
          <w:tcPr>
            <w:tcW w:type="dxa" w:w="850"/>
            <w:vAlign w:val="center"/>
          </w:tcPr>
          <w:p>
            <w:pPr>
              <w:spacing w:after="0"/>
            </w:pPr>
            <w:r/>
            <w:r>
              <w:rPr>
                <w:rFonts w:ascii="Calibri" w:hAnsi="Calibri"/>
                <w:b w:val="0"/>
                <w:color w:val="333537"/>
                <w:sz w:val="13"/>
              </w:rPr>
              <w:t>DEC-111</w:t>
            </w:r>
          </w:p>
        </w:tc>
        <w:tc>
          <w:tcPr>
            <w:tcW w:type="dxa" w:w="4140"/>
            <w:vAlign w:val="center"/>
          </w:tcPr>
          <w:p>
            <w:pPr>
              <w:spacing w:after="0"/>
            </w:pPr>
            <w:r/>
            <w:r>
              <w:rPr>
                <w:rFonts w:ascii="Calibri" w:hAnsi="Calibri"/>
                <w:b w:val="0"/>
                <w:color w:val="333537"/>
                <w:sz w:val="13"/>
              </w:rPr>
              <w:t>DEC-111 — Build219 gerçek Windows failure evidence ve Build220 bootstrap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docs/decisions/DEC-111-build219-windows-failure-bootstrap-remediation.md</w:t>
            </w:r>
          </w:p>
        </w:tc>
      </w:tr>
      <w:tr>
        <w:tc>
          <w:tcPr>
            <w:tcW w:type="dxa" w:w="850"/>
            <w:vAlign w:val="center"/>
          </w:tcPr>
          <w:p>
            <w:pPr>
              <w:spacing w:after="0"/>
            </w:pPr>
            <w:r/>
            <w:r>
              <w:rPr>
                <w:rFonts w:ascii="Calibri" w:hAnsi="Calibri"/>
                <w:b w:val="0"/>
                <w:color w:val="333537"/>
                <w:sz w:val="13"/>
              </w:rPr>
              <w:t>DEC-112</w:t>
            </w:r>
          </w:p>
        </w:tc>
        <w:tc>
          <w:tcPr>
            <w:tcW w:type="dxa" w:w="4140"/>
            <w:vAlign w:val="center"/>
          </w:tcPr>
          <w:p>
            <w:pPr>
              <w:spacing w:after="0"/>
            </w:pPr>
            <w:r/>
            <w:r>
              <w:rPr>
                <w:rFonts w:ascii="Calibri" w:hAnsi="Calibri"/>
                <w:b w:val="0"/>
                <w:color w:val="333537"/>
                <w:sz w:val="13"/>
              </w:rPr>
              <w:t>DEC-112 — Build220 gerçek Windows failure evidence ve Build221 workspace-build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docs/decisions/DEC-112-build220-windows-failure-workspace-build-remediation.md</w:t>
            </w:r>
          </w:p>
        </w:tc>
      </w:tr>
      <w:tr>
        <w:tc>
          <w:tcPr>
            <w:tcW w:type="dxa" w:w="850"/>
            <w:vAlign w:val="center"/>
          </w:tcPr>
          <w:p>
            <w:pPr>
              <w:spacing w:after="0"/>
            </w:pPr>
            <w:r/>
            <w:r>
              <w:rPr>
                <w:rFonts w:ascii="Calibri" w:hAnsi="Calibri"/>
                <w:b w:val="0"/>
                <w:color w:val="333537"/>
                <w:sz w:val="13"/>
              </w:rPr>
              <w:t>DEC-113</w:t>
            </w:r>
          </w:p>
        </w:tc>
        <w:tc>
          <w:tcPr>
            <w:tcW w:type="dxa" w:w="4140"/>
            <w:vAlign w:val="center"/>
          </w:tcPr>
          <w:p>
            <w:pPr>
              <w:spacing w:after="0"/>
            </w:pPr>
            <w:r/>
            <w:r>
              <w:rPr>
                <w:rFonts w:ascii="Calibri" w:hAnsi="Calibri"/>
                <w:b w:val="0"/>
                <w:color w:val="333537"/>
                <w:sz w:val="13"/>
              </w:rPr>
              <w:t>DEC-113 — Build221 gerçek Windows failure evidence ve Build222 preload TypeScript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docs/decisions/DEC-113-build221-windows-failure-preload-typescript-remediation.md</w:t>
            </w:r>
          </w:p>
        </w:tc>
      </w:tr>
      <w:tr>
        <w:tc>
          <w:tcPr>
            <w:tcW w:type="dxa" w:w="850"/>
            <w:vAlign w:val="center"/>
          </w:tcPr>
          <w:p>
            <w:pPr>
              <w:spacing w:after="0"/>
            </w:pPr>
            <w:r/>
            <w:r>
              <w:rPr>
                <w:rFonts w:ascii="Calibri" w:hAnsi="Calibri"/>
                <w:b w:val="0"/>
                <w:color w:val="333537"/>
                <w:sz w:val="13"/>
              </w:rPr>
              <w:t>DEC-114</w:t>
            </w:r>
          </w:p>
        </w:tc>
        <w:tc>
          <w:tcPr>
            <w:tcW w:type="dxa" w:w="4140"/>
            <w:vAlign w:val="center"/>
          </w:tcPr>
          <w:p>
            <w:pPr>
              <w:spacing w:after="0"/>
            </w:pPr>
            <w:r/>
            <w:r>
              <w:rPr>
                <w:rFonts w:ascii="Calibri" w:hAnsi="Calibri"/>
                <w:b w:val="0"/>
                <w:color w:val="333537"/>
                <w:sz w:val="13"/>
              </w:rPr>
              <w:t>DEC-114 — Build222 gerçek Windows failure evidence ve Build223 preload CJS graph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docs/decisions/DEC-114-build222-windows-failure-preload-cjs-graph-remediation.md</w:t>
            </w:r>
          </w:p>
        </w:tc>
      </w:tr>
      <w:tr>
        <w:tc>
          <w:tcPr>
            <w:tcW w:type="dxa" w:w="850"/>
            <w:vAlign w:val="center"/>
          </w:tcPr>
          <w:p>
            <w:pPr>
              <w:spacing w:after="0"/>
            </w:pPr>
            <w:r/>
            <w:r>
              <w:rPr>
                <w:rFonts w:ascii="Calibri" w:hAnsi="Calibri"/>
                <w:b w:val="0"/>
                <w:color w:val="333537"/>
                <w:sz w:val="13"/>
              </w:rPr>
              <w:t>DEC-115</w:t>
            </w:r>
          </w:p>
        </w:tc>
        <w:tc>
          <w:tcPr>
            <w:tcW w:type="dxa" w:w="4140"/>
            <w:vAlign w:val="center"/>
          </w:tcPr>
          <w:p>
            <w:pPr>
              <w:spacing w:after="0"/>
            </w:pPr>
            <w:r/>
            <w:r>
              <w:rPr>
                <w:rFonts w:ascii="Calibri" w:hAnsi="Calibri"/>
                <w:b w:val="0"/>
                <w:color w:val="333537"/>
                <w:sz w:val="13"/>
              </w:rPr>
              <w:t>DEC-115 — Build223 gerçek Windows failure evidence ve Build224 NSIS lisans senkronizasyonu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docs/decisions/DEC-115-build223-windows-failure-license-rtf-sync-remediation.md</w:t>
            </w:r>
          </w:p>
        </w:tc>
      </w:tr>
      <w:tr>
        <w:tc>
          <w:tcPr>
            <w:tcW w:type="dxa" w:w="850"/>
            <w:vAlign w:val="center"/>
          </w:tcPr>
          <w:p>
            <w:pPr>
              <w:spacing w:after="0"/>
            </w:pPr>
            <w:r/>
            <w:r>
              <w:rPr>
                <w:rFonts w:ascii="Calibri" w:hAnsi="Calibri"/>
                <w:b w:val="0"/>
                <w:color w:val="333537"/>
                <w:sz w:val="13"/>
              </w:rPr>
              <w:t>DEC-116</w:t>
            </w:r>
          </w:p>
        </w:tc>
        <w:tc>
          <w:tcPr>
            <w:tcW w:type="dxa" w:w="4140"/>
            <w:vAlign w:val="center"/>
          </w:tcPr>
          <w:p>
            <w:pPr>
              <w:spacing w:after="0"/>
            </w:pPr>
            <w:r/>
            <w:r>
              <w:rPr>
                <w:rFonts w:ascii="Calibri" w:hAnsi="Calibri"/>
                <w:b w:val="0"/>
                <w:color w:val="333537"/>
                <w:sz w:val="13"/>
              </w:rPr>
              <w:t>DEC-116 — Build224 Windows security root-cause remediation</w:t>
            </w:r>
          </w:p>
        </w:tc>
        <w:tc>
          <w:tcPr>
            <w:tcW w:type="dxa" w:w="1500"/>
            <w:vAlign w:val="center"/>
          </w:tcPr>
          <w:p>
            <w:pPr>
              <w:spacing w:after="0"/>
            </w:pPr>
            <w:r/>
            <w:r>
              <w:rPr>
                <w:rFonts w:ascii="Calibri" w:hAnsi="Calibri"/>
                <w:b w:val="0"/>
                <w:color w:val="333537"/>
                <w:sz w:val="13"/>
              </w:rPr>
              <w:t>Accepted</w:t>
            </w:r>
          </w:p>
        </w:tc>
        <w:tc>
          <w:tcPr>
            <w:tcW w:type="dxa" w:w="2870"/>
            <w:vAlign w:val="center"/>
          </w:tcPr>
          <w:p>
            <w:pPr>
              <w:spacing w:after="0"/>
            </w:pPr>
            <w:r/>
            <w:r>
              <w:rPr>
                <w:rFonts w:ascii="Calibri" w:hAnsi="Calibri"/>
                <w:b w:val="0"/>
                <w:color w:val="333537"/>
                <w:sz w:val="13"/>
              </w:rPr>
              <w:t>docs/decisions/DEC-116-build224-windows-security-root-cause-remediation.md</w:t>
            </w:r>
          </w:p>
        </w:tc>
      </w:tr>
      <w:tr>
        <w:tc>
          <w:tcPr>
            <w:tcW w:type="dxa" w:w="850"/>
            <w:vAlign w:val="center"/>
          </w:tcPr>
          <w:p>
            <w:pPr>
              <w:spacing w:after="0"/>
            </w:pPr>
            <w:r/>
            <w:r>
              <w:rPr>
                <w:rFonts w:ascii="Calibri" w:hAnsi="Calibri"/>
                <w:b w:val="0"/>
                <w:color w:val="333537"/>
                <w:sz w:val="13"/>
              </w:rPr>
              <w:t>DEC-117</w:t>
            </w:r>
          </w:p>
        </w:tc>
        <w:tc>
          <w:tcPr>
            <w:tcW w:type="dxa" w:w="4140"/>
            <w:vAlign w:val="center"/>
          </w:tcPr>
          <w:p>
            <w:pPr>
              <w:spacing w:after="0"/>
            </w:pPr>
            <w:r/>
            <w:r>
              <w:rPr>
                <w:rFonts w:ascii="Calibri" w:hAnsi="Calibri"/>
                <w:b w:val="0"/>
                <w:color w:val="333537"/>
                <w:sz w:val="13"/>
              </w:rPr>
              <w:t>DEC-117 — PR-172 platform-actual context HARD_STOP</w:t>
            </w:r>
          </w:p>
        </w:tc>
        <w:tc>
          <w:tcPr>
            <w:tcW w:type="dxa" w:w="1500"/>
            <w:vAlign w:val="center"/>
          </w:tcPr>
          <w:p>
            <w:pPr>
              <w:spacing w:after="0"/>
            </w:pPr>
            <w:r/>
            <w:r>
              <w:rPr>
                <w:rFonts w:ascii="Calibri" w:hAnsi="Calibri"/>
                <w:b w:val="0"/>
                <w:color w:val="333537"/>
                <w:sz w:val="13"/>
              </w:rPr>
              <w:t>Accepted</w:t>
            </w:r>
          </w:p>
        </w:tc>
        <w:tc>
          <w:tcPr>
            <w:tcW w:type="dxa" w:w="2870"/>
            <w:vAlign w:val="center"/>
          </w:tcPr>
          <w:p>
            <w:pPr>
              <w:spacing w:after="0"/>
            </w:pPr>
            <w:r/>
            <w:r>
              <w:rPr>
                <w:rFonts w:ascii="Calibri" w:hAnsi="Calibri"/>
                <w:b w:val="0"/>
                <w:color w:val="333537"/>
                <w:sz w:val="13"/>
              </w:rPr>
              <w:t>docs/decisions/DEC-117-pr172-platform-actual-context-hard-stop.md</w:t>
            </w:r>
          </w:p>
        </w:tc>
      </w:tr>
      <w:tr>
        <w:tc>
          <w:tcPr>
            <w:tcW w:type="dxa" w:w="850"/>
            <w:vAlign w:val="center"/>
          </w:tcPr>
          <w:p>
            <w:pPr>
              <w:spacing w:after="0"/>
            </w:pPr>
            <w:r/>
            <w:r>
              <w:rPr>
                <w:rFonts w:ascii="Calibri" w:hAnsi="Calibri"/>
                <w:b w:val="0"/>
                <w:color w:val="333537"/>
                <w:sz w:val="13"/>
              </w:rPr>
              <w:t>DEC-118</w:t>
            </w:r>
          </w:p>
        </w:tc>
        <w:tc>
          <w:tcPr>
            <w:tcW w:type="dxa" w:w="4140"/>
            <w:vAlign w:val="center"/>
          </w:tcPr>
          <w:p>
            <w:pPr>
              <w:spacing w:after="0"/>
            </w:pPr>
            <w:r/>
            <w:r>
              <w:rPr>
                <w:rFonts w:ascii="Calibri" w:hAnsi="Calibri"/>
                <w:b w:val="0"/>
                <w:color w:val="333537"/>
                <w:sz w:val="13"/>
              </w:rPr>
              <w:t>DEC-118 — Build225 Fresh-Profile Device Identity Initialization Order</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docs/decisions/DEC-118-build225-fresh-profile-device-identity-initialization-order.md</w:t>
            </w:r>
          </w:p>
        </w:tc>
      </w:tr>
      <w:tr>
        <w:tc>
          <w:tcPr>
            <w:tcW w:type="dxa" w:w="850"/>
            <w:vAlign w:val="center"/>
          </w:tcPr>
          <w:p>
            <w:pPr>
              <w:spacing w:after="0"/>
            </w:pPr>
            <w:r/>
            <w:r>
              <w:rPr>
                <w:rFonts w:ascii="Calibri" w:hAnsi="Calibri"/>
                <w:b w:val="0"/>
                <w:color w:val="333537"/>
                <w:sz w:val="13"/>
              </w:rPr>
              <w:t>DEC-119</w:t>
            </w:r>
          </w:p>
        </w:tc>
        <w:tc>
          <w:tcPr>
            <w:tcW w:type="dxa" w:w="4140"/>
            <w:vAlign w:val="center"/>
          </w:tcPr>
          <w:p>
            <w:pPr>
              <w:spacing w:after="0"/>
            </w:pPr>
            <w:r/>
            <w:r>
              <w:rPr>
                <w:rFonts w:ascii="Calibri" w:hAnsi="Calibri"/>
                <w:b w:val="0"/>
                <w:color w:val="333537"/>
                <w:sz w:val="13"/>
              </w:rPr>
              <w:t>DEC-119 — Build227 Four Proven Windows Root Causes</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docs/decisions/DEC-119-build227-four-proven-windows-root-causes.md</w:t>
            </w:r>
          </w:p>
        </w:tc>
      </w:tr>
      <w:tr>
        <w:tc>
          <w:tcPr>
            <w:tcW w:type="dxa" w:w="850"/>
            <w:vAlign w:val="center"/>
          </w:tcPr>
          <w:p>
            <w:pPr>
              <w:spacing w:after="0"/>
            </w:pPr>
            <w:r/>
            <w:r>
              <w:rPr>
                <w:rFonts w:ascii="Calibri" w:hAnsi="Calibri"/>
                <w:b w:val="0"/>
                <w:color w:val="333537"/>
                <w:sz w:val="13"/>
              </w:rPr>
              <w:t>DEC-120</w:t>
            </w:r>
          </w:p>
        </w:tc>
        <w:tc>
          <w:tcPr>
            <w:tcW w:type="dxa" w:w="4140"/>
            <w:vAlign w:val="center"/>
          </w:tcPr>
          <w:p>
            <w:pPr>
              <w:spacing w:after="0"/>
            </w:pPr>
            <w:r/>
            <w:r>
              <w:rPr>
                <w:rFonts w:ascii="Calibri" w:hAnsi="Calibri"/>
                <w:b w:val="0"/>
                <w:color w:val="333537"/>
                <w:sz w:val="13"/>
              </w:rPr>
              <w:t>DEC-120 — Build228 OPEN-021/OPEN-022 Official Closure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docs/decisions/DEC-120-build228-open021-open022-official-closure.md</w:t>
            </w:r>
          </w:p>
        </w:tc>
      </w:tr>
      <w:tr>
        <w:tc>
          <w:tcPr>
            <w:tcW w:type="dxa" w:w="850"/>
            <w:vAlign w:val="center"/>
          </w:tcPr>
          <w:p>
            <w:pPr>
              <w:spacing w:after="0"/>
            </w:pPr>
            <w:r/>
            <w:r>
              <w:rPr>
                <w:rFonts w:ascii="Calibri" w:hAnsi="Calibri"/>
                <w:b w:val="0"/>
                <w:color w:val="333537"/>
                <w:sz w:val="13"/>
              </w:rPr>
              <w:t>DEC-121</w:t>
            </w:r>
          </w:p>
        </w:tc>
        <w:tc>
          <w:tcPr>
            <w:tcW w:type="dxa" w:w="4140"/>
            <w:vAlign w:val="center"/>
          </w:tcPr>
          <w:p>
            <w:pPr>
              <w:spacing w:after="0"/>
            </w:pPr>
            <w:r/>
            <w:r>
              <w:rPr>
                <w:rFonts w:ascii="Calibri" w:hAnsi="Calibri"/>
                <w:b w:val="0"/>
                <w:color w:val="333537"/>
                <w:sz w:val="13"/>
              </w:rPr>
              <w:t>DEC-121 — Accepted Scope, Monthly Release Identity and Channel Gates</w:t>
            </w:r>
          </w:p>
        </w:tc>
        <w:tc>
          <w:tcPr>
            <w:tcW w:type="dxa" w:w="1500"/>
            <w:vAlign w:val="center"/>
          </w:tcPr>
          <w:p>
            <w:pPr>
              <w:spacing w:after="0"/>
            </w:pPr>
            <w:r/>
            <w:r>
              <w:rPr>
                <w:rFonts w:ascii="Calibri" w:hAnsi="Calibri"/>
                <w:b w:val="0"/>
                <w:color w:val="333537"/>
                <w:sz w:val="13"/>
              </w:rPr>
              <w:t>ACCEPTED</w:t>
            </w:r>
          </w:p>
        </w:tc>
        <w:tc>
          <w:tcPr>
            <w:tcW w:type="dxa" w:w="2870"/>
            <w:vAlign w:val="center"/>
          </w:tcPr>
          <w:p>
            <w:pPr>
              <w:spacing w:after="0"/>
            </w:pPr>
            <w:r/>
            <w:r>
              <w:rPr>
                <w:rFonts w:ascii="Calibri" w:hAnsi="Calibri"/>
                <w:b w:val="0"/>
                <w:color w:val="333537"/>
                <w:sz w:val="13"/>
              </w:rPr>
              <w:t>docs/decisions/DEC-121-accepted-scope-monthly-release-and-channel-gates.md</w:t>
            </w:r>
          </w:p>
        </w:tc>
      </w:tr>
      <w:tr>
        <w:tc>
          <w:tcPr>
            <w:tcW w:type="dxa" w:w="850"/>
            <w:vAlign w:val="center"/>
          </w:tcPr>
          <w:p>
            <w:pPr>
              <w:spacing w:after="0"/>
            </w:pPr>
            <w:r/>
            <w:r>
              <w:rPr>
                <w:rFonts w:ascii="Calibri" w:hAnsi="Calibri"/>
                <w:b w:val="0"/>
                <w:color w:val="333537"/>
                <w:sz w:val="13"/>
              </w:rPr>
              <w:t>DEC-122</w:t>
            </w:r>
          </w:p>
        </w:tc>
        <w:tc>
          <w:tcPr>
            <w:tcW w:type="dxa" w:w="4140"/>
            <w:vAlign w:val="center"/>
          </w:tcPr>
          <w:p>
            <w:pPr>
              <w:spacing w:after="0"/>
            </w:pPr>
            <w:r/>
            <w:r>
              <w:rPr>
                <w:rFonts w:ascii="Calibri" w:hAnsi="Calibri"/>
                <w:b w:val="0"/>
                <w:color w:val="333537"/>
                <w:sz w:val="13"/>
              </w:rPr>
              <w:t>DEC-122 — Platform Policy Kernel and Core Service Foundation</w:t>
            </w:r>
          </w:p>
        </w:tc>
        <w:tc>
          <w:tcPr>
            <w:tcW w:type="dxa" w:w="1500"/>
            <w:vAlign w:val="center"/>
          </w:tcPr>
          <w:p>
            <w:pPr>
              <w:spacing w:after="0"/>
            </w:pPr>
            <w:r/>
            <w:r>
              <w:rPr>
                <w:rFonts w:ascii="Calibri" w:hAnsi="Calibri"/>
                <w:b w:val="0"/>
                <w:color w:val="333537"/>
                <w:sz w:val="13"/>
              </w:rPr>
              <w:t>ACCEPTED / FOUNDATION STARTED</w:t>
            </w:r>
          </w:p>
        </w:tc>
        <w:tc>
          <w:tcPr>
            <w:tcW w:type="dxa" w:w="2870"/>
            <w:vAlign w:val="center"/>
          </w:tcPr>
          <w:p>
            <w:pPr>
              <w:spacing w:after="0"/>
            </w:pPr>
            <w:r/>
            <w:r>
              <w:rPr>
                <w:rFonts w:ascii="Calibri" w:hAnsi="Calibri"/>
                <w:b w:val="0"/>
                <w:color w:val="333537"/>
                <w:sz w:val="13"/>
              </w:rPr>
              <w:t>docs/decisions/DEC-122-platform-policy-kernel-and-core-service-foundation.md</w:t>
            </w:r>
          </w:p>
        </w:tc>
      </w:tr>
      <w:tr>
        <w:tc>
          <w:tcPr>
            <w:tcW w:type="dxa" w:w="850"/>
            <w:vAlign w:val="center"/>
          </w:tcPr>
          <w:p>
            <w:pPr>
              <w:spacing w:after="0"/>
            </w:pPr>
            <w:r/>
            <w:r>
              <w:rPr>
                <w:rFonts w:ascii="Calibri" w:hAnsi="Calibri"/>
                <w:b w:val="0"/>
                <w:color w:val="333537"/>
                <w:sz w:val="13"/>
              </w:rPr>
              <w:t>DEC-123</w:t>
            </w:r>
          </w:p>
        </w:tc>
        <w:tc>
          <w:tcPr>
            <w:tcW w:type="dxa" w:w="4140"/>
            <w:vAlign w:val="center"/>
          </w:tcPr>
          <w:p>
            <w:pPr>
              <w:spacing w:after="0"/>
            </w:pPr>
            <w:r/>
            <w:r>
              <w:rPr>
                <w:rFonts w:ascii="Calibri" w:hAnsi="Calibri"/>
                <w:b w:val="0"/>
                <w:color w:val="333537"/>
                <w:sz w:val="13"/>
              </w:rPr>
              <w:t>DEC-123 — All proposed family capabilities accepted as binding Bronze scope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docs/decisions/DEC-123-all-proposed-family-capabilities-accepted-as-binding-bronze-scope.md</w:t>
            </w:r>
          </w:p>
        </w:tc>
      </w:tr>
      <w:tr>
        <w:tc>
          <w:tcPr>
            <w:tcW w:type="dxa" w:w="850"/>
            <w:vAlign w:val="center"/>
          </w:tcPr>
          <w:p>
            <w:pPr>
              <w:spacing w:after="0"/>
            </w:pPr>
            <w:r/>
            <w:r>
              <w:rPr>
                <w:rFonts w:ascii="Calibri" w:hAnsi="Calibri"/>
                <w:b w:val="0"/>
                <w:color w:val="333537"/>
                <w:sz w:val="13"/>
              </w:rPr>
              <w:t>DEC-124</w:t>
            </w:r>
          </w:p>
        </w:tc>
        <w:tc>
          <w:tcPr>
            <w:tcW w:type="dxa" w:w="4140"/>
            <w:vAlign w:val="center"/>
          </w:tcPr>
          <w:p>
            <w:pPr>
              <w:spacing w:after="0"/>
            </w:pPr>
            <w:r/>
            <w:r>
              <w:rPr>
                <w:rFonts w:ascii="Calibri" w:hAnsi="Calibri"/>
                <w:b w:val="0"/>
                <w:color w:val="333537"/>
                <w:sz w:val="13"/>
              </w:rPr>
              <w:t>DEC-124 — Exceptionless canonical rule lock and automatic fail-closed gates</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docs/decisions/DEC-124-exceptionless-canonical-rule-lock-and-automatic-fail-closed-gates.md</w:t>
            </w:r>
          </w:p>
        </w:tc>
      </w:tr>
      <w:tr>
        <w:tc>
          <w:tcPr>
            <w:tcW w:type="dxa" w:w="850"/>
            <w:vAlign w:val="center"/>
          </w:tcPr>
          <w:p>
            <w:pPr>
              <w:spacing w:after="0"/>
            </w:pPr>
            <w:r/>
            <w:r>
              <w:rPr>
                <w:rFonts w:ascii="Calibri" w:hAnsi="Calibri"/>
                <w:b w:val="0"/>
                <w:color w:val="333537"/>
                <w:sz w:val="13"/>
              </w:rPr>
              <w:t>DEC-125</w:t>
            </w:r>
          </w:p>
        </w:tc>
        <w:tc>
          <w:tcPr>
            <w:tcW w:type="dxa" w:w="4140"/>
            <w:vAlign w:val="center"/>
          </w:tcPr>
          <w:p>
            <w:pPr>
              <w:spacing w:after="0"/>
            </w:pPr>
            <w:r/>
            <w:r>
              <w:rPr>
                <w:rFonts w:ascii="Calibri" w:hAnsi="Calibri"/>
                <w:b w:val="0"/>
                <w:color w:val="333537"/>
                <w:sz w:val="13"/>
              </w:rPr>
              <w:t>DEC-125 — Persistent Library hierarchy is mandatory for every delivery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docs/decisions/DEC-125-persistent-library-hierarchy-is-mandatory-for-every-delivery.md</w:t>
            </w:r>
          </w:p>
        </w:tc>
      </w:tr>
      <w:tr>
        <w:tc>
          <w:tcPr>
            <w:tcW w:type="dxa" w:w="850"/>
            <w:vAlign w:val="center"/>
          </w:tcPr>
          <w:p>
            <w:pPr>
              <w:spacing w:after="0"/>
            </w:pPr>
            <w:r/>
            <w:r>
              <w:rPr>
                <w:rFonts w:ascii="Calibri" w:hAnsi="Calibri"/>
                <w:b w:val="0"/>
                <w:color w:val="333537"/>
                <w:sz w:val="13"/>
              </w:rPr>
              <w:t>DEC-126</w:t>
            </w:r>
          </w:p>
        </w:tc>
        <w:tc>
          <w:tcPr>
            <w:tcW w:type="dxa" w:w="4140"/>
            <w:vAlign w:val="center"/>
          </w:tcPr>
          <w:p>
            <w:pPr>
              <w:spacing w:after="0"/>
            </w:pPr>
            <w:r/>
            <w:r>
              <w:rPr>
                <w:rFonts w:ascii="Calibri" w:hAnsi="Calibri"/>
                <w:b w:val="0"/>
                <w:color w:val="333537"/>
                <w:sz w:val="13"/>
              </w:rPr>
              <w:t>DEC-126 — Every delivery reports progress, ETA, Silver/Gold, conversation status and handoff state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docs/decisions/DEC-126-every-delivery-reports-progress-eta-silver-gold-conversation-status-and-handoff-state.md</w:t>
            </w:r>
          </w:p>
        </w:tc>
      </w:tr>
      <w:tr>
        <w:tc>
          <w:tcPr>
            <w:tcW w:type="dxa" w:w="850"/>
            <w:vAlign w:val="center"/>
          </w:tcPr>
          <w:p>
            <w:pPr>
              <w:spacing w:after="0"/>
            </w:pPr>
            <w:r/>
            <w:r>
              <w:rPr>
                <w:rFonts w:ascii="Calibri" w:hAnsi="Calibri"/>
                <w:b w:val="0"/>
                <w:color w:val="333537"/>
                <w:sz w:val="13"/>
              </w:rPr>
              <w:t>DEC-127</w:t>
            </w:r>
          </w:p>
        </w:tc>
        <w:tc>
          <w:tcPr>
            <w:tcW w:type="dxa" w:w="4140"/>
            <w:vAlign w:val="center"/>
          </w:tcPr>
          <w:p>
            <w:pPr>
              <w:spacing w:after="0"/>
            </w:pPr>
            <w:r/>
            <w:r>
              <w:rPr>
                <w:rFonts w:ascii="Calibri" w:hAnsi="Calibri"/>
                <w:b w:val="0"/>
                <w:color w:val="333537"/>
                <w:sz w:val="13"/>
              </w:rPr>
              <w:t>DEC-127 — All documents and artifacts must be exhaustively indexed and listed</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docs/decisions/DEC-127-all-documents-and-artifacts-must-be-exhaustively-indexed-and-listed.md</w:t>
            </w:r>
          </w:p>
        </w:tc>
      </w:tr>
      <w:tr>
        <w:tc>
          <w:tcPr>
            <w:tcW w:type="dxa" w:w="850"/>
            <w:vAlign w:val="center"/>
          </w:tcPr>
          <w:p>
            <w:pPr>
              <w:spacing w:after="0"/>
            </w:pPr>
            <w:r/>
            <w:r>
              <w:rPr>
                <w:rFonts w:ascii="Calibri" w:hAnsi="Calibri"/>
                <w:b w:val="0"/>
                <w:color w:val="333537"/>
                <w:sz w:val="13"/>
              </w:rPr>
              <w:t>DEC-128</w:t>
            </w:r>
          </w:p>
        </w:tc>
        <w:tc>
          <w:tcPr>
            <w:tcW w:type="dxa" w:w="4140"/>
            <w:vAlign w:val="center"/>
          </w:tcPr>
          <w:p>
            <w:pPr>
              <w:spacing w:after="0"/>
            </w:pPr>
            <w:r/>
            <w:r>
              <w:rPr>
                <w:rFonts w:ascii="Calibri" w:hAnsi="Calibri"/>
                <w:b w:val="0"/>
                <w:color w:val="333537"/>
                <w:sz w:val="13"/>
              </w:rPr>
              <w:t>DEC-128 — Completed releases are immutable; new work continues in monthly next sequence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docs/decisions/DEC-128-completed-releases-are-immutable-new-work-continues-in-monthly-next-sequence.md</w:t>
            </w:r>
          </w:p>
        </w:tc>
      </w:tr>
      <w:tr>
        <w:tc>
          <w:tcPr>
            <w:tcW w:type="dxa" w:w="850"/>
            <w:vAlign w:val="center"/>
          </w:tcPr>
          <w:p>
            <w:pPr>
              <w:spacing w:after="0"/>
            </w:pPr>
            <w:r/>
            <w:r>
              <w:rPr>
                <w:rFonts w:ascii="Calibri" w:hAnsi="Calibri"/>
                <w:b w:val="0"/>
                <w:color w:val="333537"/>
                <w:sz w:val="13"/>
              </w:rPr>
              <w:t>DEC-129</w:t>
            </w:r>
          </w:p>
        </w:tc>
        <w:tc>
          <w:tcPr>
            <w:tcW w:type="dxa" w:w="4140"/>
            <w:vAlign w:val="center"/>
          </w:tcPr>
          <w:p>
            <w:pPr>
              <w:spacing w:after="0"/>
            </w:pPr>
            <w:r/>
            <w:r>
              <w:rPr>
                <w:rFonts w:ascii="Calibri" w:hAnsi="Calibri"/>
                <w:b w:val="0"/>
                <w:color w:val="333537"/>
                <w:sz w:val="13"/>
              </w:rPr>
              <w:t>DEC-129 — Tüm aktif kurallar aşılamaz yürütme çekirdeğine bağlanır</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docs/decisions/DEC-129-tum-kurallar-asilamaz-yurutme-cekirdegi.md</w:t>
            </w:r>
          </w:p>
        </w:tc>
      </w:tr>
      <w:tr>
        <w:tc>
          <w:tcPr>
            <w:tcW w:type="dxa" w:w="850"/>
            <w:vAlign w:val="center"/>
          </w:tcPr>
          <w:p>
            <w:pPr>
              <w:spacing w:after="0"/>
            </w:pPr>
            <w:r/>
            <w:r>
              <w:rPr>
                <w:rFonts w:ascii="Calibri" w:hAnsi="Calibri"/>
                <w:b w:val="0"/>
                <w:color w:val="333537"/>
                <w:sz w:val="13"/>
              </w:rPr>
              <w:t>DEC-130</w:t>
            </w:r>
          </w:p>
        </w:tc>
        <w:tc>
          <w:tcPr>
            <w:tcW w:type="dxa" w:w="4140"/>
            <w:vAlign w:val="center"/>
          </w:tcPr>
          <w:p>
            <w:pPr>
              <w:spacing w:after="0"/>
            </w:pPr>
            <w:r/>
            <w:r>
              <w:rPr>
                <w:rFonts w:ascii="Calibri" w:hAnsi="Calibri"/>
                <w:b w:val="0"/>
                <w:color w:val="333537"/>
                <w:sz w:val="13"/>
              </w:rPr>
              <w:t>DEC-130 — B1-03 Bağlamsal Merkezi Yetkilendirme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docs/decisions/DEC-130-b1-03-contextual-central-authorization.md</w:t>
            </w:r>
          </w:p>
        </w:tc>
      </w:tr>
      <w:tr>
        <w:tc>
          <w:tcPr>
            <w:tcW w:type="dxa" w:w="850"/>
            <w:vAlign w:val="center"/>
          </w:tcPr>
          <w:p>
            <w:pPr>
              <w:spacing w:after="0"/>
            </w:pPr>
            <w:r/>
            <w:r>
              <w:rPr>
                <w:rFonts w:ascii="Calibri" w:hAnsi="Calibri"/>
                <w:b w:val="0"/>
                <w:color w:val="333537"/>
                <w:sz w:val="13"/>
              </w:rPr>
              <w:t>DEC-131</w:t>
            </w:r>
          </w:p>
        </w:tc>
        <w:tc>
          <w:tcPr>
            <w:tcW w:type="dxa" w:w="4140"/>
            <w:vAlign w:val="center"/>
          </w:tcPr>
          <w:p>
            <w:pPr>
              <w:spacing w:after="0"/>
            </w:pPr>
            <w:r/>
            <w:r>
              <w:rPr>
                <w:rFonts w:ascii="Calibri" w:hAnsi="Calibri"/>
                <w:b w:val="0"/>
                <w:color w:val="333537"/>
                <w:sz w:val="13"/>
              </w:rPr>
              <w:t>DEC-131 — B1-04 Güvenli Davet Yaşam Döngüsü</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docs/decisions/DEC-131-b1-04-invitation-lifecycle.md</w:t>
            </w:r>
          </w:p>
        </w:tc>
      </w:tr>
      <w:tr>
        <w:tc>
          <w:tcPr>
            <w:tcW w:type="dxa" w:w="850"/>
            <w:vAlign w:val="center"/>
          </w:tcPr>
          <w:p>
            <w:pPr>
              <w:spacing w:after="0"/>
            </w:pPr>
            <w:r/>
            <w:r>
              <w:rPr>
                <w:rFonts w:ascii="Calibri" w:hAnsi="Calibri"/>
                <w:b w:val="0"/>
                <w:color w:val="333537"/>
                <w:sz w:val="13"/>
              </w:rPr>
              <w:t>DEC-132</w:t>
            </w:r>
          </w:p>
        </w:tc>
        <w:tc>
          <w:tcPr>
            <w:tcW w:type="dxa" w:w="4140"/>
            <w:vAlign w:val="center"/>
          </w:tcPr>
          <w:p>
            <w:pPr>
              <w:spacing w:after="0"/>
            </w:pPr>
            <w:r/>
            <w:r>
              <w:rPr>
                <w:rFonts w:ascii="Calibri" w:hAnsi="Calibri"/>
                <w:b w:val="0"/>
                <w:color w:val="333537"/>
                <w:sz w:val="13"/>
              </w:rPr>
              <w:t>DEC-132 — B1-04 davet IPC, kullanıcı arayüzü ve menü kararı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docs/decisions/DEC-132-b1-04-invitation-ipc-ui-menu.md</w:t>
            </w:r>
          </w:p>
        </w:tc>
      </w:tr>
      <w:tr>
        <w:tc>
          <w:tcPr>
            <w:tcW w:type="dxa" w:w="850"/>
            <w:vAlign w:val="center"/>
          </w:tcPr>
          <w:p>
            <w:pPr>
              <w:spacing w:after="0"/>
            </w:pPr>
            <w:r/>
            <w:r>
              <w:rPr>
                <w:rFonts w:ascii="Calibri" w:hAnsi="Calibri"/>
                <w:b w:val="0"/>
                <w:color w:val="333537"/>
                <w:sz w:val="13"/>
              </w:rPr>
              <w:t>DEC-133</w:t>
            </w:r>
          </w:p>
        </w:tc>
        <w:tc>
          <w:tcPr>
            <w:tcW w:type="dxa" w:w="4140"/>
            <w:vAlign w:val="center"/>
          </w:tcPr>
          <w:p>
            <w:pPr>
              <w:spacing w:after="0"/>
            </w:pPr>
            <w:r/>
            <w:r>
              <w:rPr>
                <w:rFonts w:ascii="Calibri" w:hAnsi="Calibri"/>
                <w:b w:val="0"/>
                <w:color w:val="333537"/>
                <w:sz w:val="13"/>
              </w:rPr>
              <w:t>DEC-133 — B1-05 Güvenli Veri Onarma Merkezi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docs/decisions/DEC-133-b1-05-data-repair-center.md</w:t>
            </w:r>
          </w:p>
        </w:tc>
      </w:tr>
      <w:tr>
        <w:tc>
          <w:tcPr>
            <w:tcW w:type="dxa" w:w="850"/>
            <w:vAlign w:val="center"/>
          </w:tcPr>
          <w:p>
            <w:pPr>
              <w:spacing w:after="0"/>
            </w:pPr>
            <w:r/>
            <w:r>
              <w:rPr>
                <w:rFonts w:ascii="Calibri" w:hAnsi="Calibri"/>
                <w:b w:val="0"/>
                <w:color w:val="333537"/>
                <w:sz w:val="13"/>
              </w:rPr>
              <w:t>DEC-134</w:t>
            </w:r>
          </w:p>
        </w:tc>
        <w:tc>
          <w:tcPr>
            <w:tcW w:type="dxa" w:w="4140"/>
            <w:vAlign w:val="center"/>
          </w:tcPr>
          <w:p>
            <w:pPr>
              <w:spacing w:after="0"/>
            </w:pPr>
            <w:r/>
            <w:r>
              <w:rPr>
                <w:rFonts w:ascii="Calibri" w:hAnsi="Calibri"/>
                <w:b w:val="0"/>
                <w:color w:val="333537"/>
                <w:sz w:val="13"/>
              </w:rPr>
              <w:t>DEC-134 — B1-05 Veri Onarma Merkezi Masaüstü Çalışma Alanı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docs/decisions/DEC-134-b1-05-data-repair-desktop-workspace.md</w:t>
            </w:r>
          </w:p>
        </w:tc>
      </w:tr>
      <w:tr>
        <w:tc>
          <w:tcPr>
            <w:tcW w:type="dxa" w:w="850"/>
            <w:vAlign w:val="center"/>
          </w:tcPr>
          <w:p>
            <w:pPr>
              <w:spacing w:after="0"/>
            </w:pPr>
            <w:r/>
            <w:r>
              <w:rPr>
                <w:rFonts w:ascii="Calibri" w:hAnsi="Calibri"/>
                <w:b w:val="0"/>
                <w:color w:val="333537"/>
                <w:sz w:val="13"/>
              </w:rPr>
              <w:t>DEC-135</w:t>
            </w:r>
          </w:p>
        </w:tc>
        <w:tc>
          <w:tcPr>
            <w:tcW w:type="dxa" w:w="4140"/>
            <w:vAlign w:val="center"/>
          </w:tcPr>
          <w:p>
            <w:pPr>
              <w:spacing w:after="0"/>
            </w:pPr>
            <w:r/>
            <w:r>
              <w:rPr>
                <w:rFonts w:ascii="Calibri" w:hAnsi="Calibri"/>
                <w:b w:val="0"/>
                <w:color w:val="333537"/>
                <w:sz w:val="13"/>
              </w:rPr>
              <w:t>DEC-135 — B2-01 Windows Hello Temeli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docs/decisions/DEC-135-b2-01-windows-hello-foundation.md</w:t>
            </w:r>
          </w:p>
        </w:tc>
      </w:tr>
      <w:tr>
        <w:tc>
          <w:tcPr>
            <w:tcW w:type="dxa" w:w="850"/>
            <w:vAlign w:val="center"/>
          </w:tcPr>
          <w:p>
            <w:pPr>
              <w:spacing w:after="0"/>
            </w:pPr>
            <w:r/>
            <w:r>
              <w:rPr>
                <w:rFonts w:ascii="Calibri" w:hAnsi="Calibri"/>
                <w:b w:val="0"/>
                <w:color w:val="333537"/>
                <w:sz w:val="13"/>
              </w:rPr>
              <w:t>DEC-136</w:t>
            </w:r>
          </w:p>
        </w:tc>
        <w:tc>
          <w:tcPr>
            <w:tcW w:type="dxa" w:w="4140"/>
            <w:vAlign w:val="center"/>
          </w:tcPr>
          <w:p>
            <w:pPr>
              <w:spacing w:after="0"/>
            </w:pPr>
            <w:r/>
            <w:r>
              <w:rPr>
                <w:rFonts w:ascii="Calibri" w:hAnsi="Calibri"/>
                <w:b w:val="0"/>
                <w:color w:val="333537"/>
                <w:sz w:val="13"/>
              </w:rPr>
              <w:t>DEC-136 — B2-01 Windows Hello IPC, Arayüz ve Menü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docs/decisions/DEC-136-b2-01-windows-hello-ipc-ui-menu.md</w:t>
            </w:r>
          </w:p>
        </w:tc>
      </w:tr>
      <w:tr>
        <w:tc>
          <w:tcPr>
            <w:tcW w:type="dxa" w:w="850"/>
            <w:vAlign w:val="center"/>
          </w:tcPr>
          <w:p>
            <w:pPr>
              <w:spacing w:after="0"/>
            </w:pPr>
            <w:r/>
            <w:r>
              <w:rPr>
                <w:rFonts w:ascii="Calibri" w:hAnsi="Calibri"/>
                <w:b w:val="0"/>
                <w:color w:val="333537"/>
                <w:sz w:val="13"/>
              </w:rPr>
              <w:t>DEC-137</w:t>
            </w:r>
          </w:p>
        </w:tc>
        <w:tc>
          <w:tcPr>
            <w:tcW w:type="dxa" w:w="4140"/>
            <w:vAlign w:val="center"/>
          </w:tcPr>
          <w:p>
            <w:pPr>
              <w:spacing w:after="0"/>
            </w:pPr>
            <w:r/>
            <w:r>
              <w:rPr>
                <w:rFonts w:ascii="Calibri" w:hAnsi="Calibri"/>
                <w:b w:val="0"/>
                <w:color w:val="333537"/>
                <w:sz w:val="13"/>
              </w:rPr>
              <w:t>DEC-137 — Eksik Bronze Kapsamının Tam Otomatik Önceliklendirilmesi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docs/decisions/DEC-137-incomplete-bronze-backlog-full-auto-prioritization.md</w:t>
            </w:r>
          </w:p>
        </w:tc>
      </w:tr>
      <w:tr>
        <w:tc>
          <w:tcPr>
            <w:tcW w:type="dxa" w:w="850"/>
            <w:vAlign w:val="center"/>
          </w:tcPr>
          <w:p>
            <w:pPr>
              <w:spacing w:after="0"/>
            </w:pPr>
            <w:r/>
            <w:r>
              <w:rPr>
                <w:rFonts w:ascii="Calibri" w:hAnsi="Calibri"/>
                <w:b w:val="0"/>
                <w:color w:val="333537"/>
                <w:sz w:val="13"/>
              </w:rPr>
              <w:t>DEC-138</w:t>
            </w:r>
          </w:p>
        </w:tc>
        <w:tc>
          <w:tcPr>
            <w:tcW w:type="dxa" w:w="4140"/>
            <w:vAlign w:val="center"/>
          </w:tcPr>
          <w:p>
            <w:pPr>
              <w:spacing w:after="0"/>
            </w:pPr>
            <w:r/>
            <w:r>
              <w:rPr>
                <w:rFonts w:ascii="Calibri" w:hAnsi="Calibri"/>
                <w:b w:val="0"/>
                <w:color w:val="333537"/>
                <w:sz w:val="13"/>
              </w:rPr>
              <w:t>DEC-138 — PPK-002 Merkezi Policy Enforcement Temeli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docs/decisions/DEC-138-ppk-002-central-policy-enforcement-foundation.md</w:t>
            </w:r>
          </w:p>
        </w:tc>
      </w:tr>
      <w:tr>
        <w:tc>
          <w:tcPr>
            <w:tcW w:type="dxa" w:w="850"/>
            <w:vAlign w:val="center"/>
          </w:tcPr>
          <w:p>
            <w:pPr>
              <w:spacing w:after="0"/>
            </w:pPr>
            <w:r/>
            <w:r>
              <w:rPr>
                <w:rFonts w:ascii="Calibri" w:hAnsi="Calibri"/>
                <w:b w:val="0"/>
                <w:color w:val="333537"/>
                <w:sz w:val="13"/>
              </w:rPr>
              <w:t>DEC-139</w:t>
            </w:r>
          </w:p>
        </w:tc>
        <w:tc>
          <w:tcPr>
            <w:tcW w:type="dxa" w:w="4140"/>
            <w:vAlign w:val="center"/>
          </w:tcPr>
          <w:p>
            <w:pPr>
              <w:spacing w:after="0"/>
            </w:pPr>
            <w:r/>
            <w:r>
              <w:rPr>
                <w:rFonts w:ascii="Calibri" w:hAnsi="Calibri"/>
                <w:b w:val="0"/>
                <w:color w:val="333537"/>
                <w:sz w:val="13"/>
              </w:rPr>
              <w:t>DEC-139 — PPK-002 Arşiv Policy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docs/decisions/DEC-139-ppk-002-archive-policy-enforcement-vertical-slice.md</w:t>
            </w:r>
          </w:p>
        </w:tc>
      </w:tr>
      <w:tr>
        <w:tc>
          <w:tcPr>
            <w:tcW w:type="dxa" w:w="850"/>
            <w:vAlign w:val="center"/>
          </w:tcPr>
          <w:p>
            <w:pPr>
              <w:spacing w:after="0"/>
            </w:pPr>
            <w:r/>
            <w:r>
              <w:rPr>
                <w:rFonts w:ascii="Calibri" w:hAnsi="Calibri"/>
                <w:b w:val="0"/>
                <w:color w:val="333537"/>
                <w:sz w:val="13"/>
              </w:rPr>
              <w:t>DEC-140</w:t>
            </w:r>
          </w:p>
        </w:tc>
        <w:tc>
          <w:tcPr>
            <w:tcW w:type="dxa" w:w="4140"/>
            <w:vAlign w:val="center"/>
          </w:tcPr>
          <w:p>
            <w:pPr>
              <w:spacing w:after="0"/>
            </w:pPr>
            <w:r/>
            <w:r>
              <w:rPr>
                <w:rFonts w:ascii="Calibri" w:hAnsi="Calibri"/>
                <w:b w:val="0"/>
                <w:color w:val="333537"/>
                <w:sz w:val="13"/>
              </w:rPr>
              <w:t>DEC-140 — PPK-002 Arşiv Üretim Bileşimi ve SQLite Runtime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docs/decisions/DEC-140-ppk-002-archive-production-composition-and-sqlite-runtime.md</w:t>
            </w:r>
          </w:p>
        </w:tc>
      </w:tr>
      <w:tr>
        <w:tc>
          <w:tcPr>
            <w:tcW w:type="dxa" w:w="850"/>
            <w:vAlign w:val="center"/>
          </w:tcPr>
          <w:p>
            <w:pPr>
              <w:spacing w:after="0"/>
            </w:pPr>
            <w:r/>
            <w:r>
              <w:rPr>
                <w:rFonts w:ascii="Calibri" w:hAnsi="Calibri"/>
                <w:b w:val="0"/>
                <w:color w:val="333537"/>
                <w:sz w:val="13"/>
              </w:rPr>
              <w:t>DEC-141</w:t>
            </w:r>
          </w:p>
        </w:tc>
        <w:tc>
          <w:tcPr>
            <w:tcW w:type="dxa" w:w="4140"/>
            <w:vAlign w:val="center"/>
          </w:tcPr>
          <w:p>
            <w:pPr>
              <w:spacing w:after="0"/>
            </w:pPr>
            <w:r/>
            <w:r>
              <w:rPr>
                <w:rFonts w:ascii="Calibri" w:hAnsi="Calibri"/>
                <w:b w:val="0"/>
                <w:color w:val="333537"/>
                <w:sz w:val="13"/>
              </w:rPr>
              <w:t>DEC-141 — PPK-002 Kalıcı Policy Transaction, Replay ve Database Fence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docs/decisions/DEC-141-ppk-002-durable-policy-transaction-replay-and-fencing.md</w:t>
            </w:r>
          </w:p>
        </w:tc>
      </w:tr>
      <w:tr>
        <w:tc>
          <w:tcPr>
            <w:tcW w:type="dxa" w:w="850"/>
            <w:vAlign w:val="center"/>
          </w:tcPr>
          <w:p>
            <w:pPr>
              <w:spacing w:after="0"/>
            </w:pPr>
            <w:r/>
            <w:r>
              <w:rPr>
                <w:rFonts w:ascii="Calibri" w:hAnsi="Calibri"/>
                <w:b w:val="0"/>
                <w:color w:val="333537"/>
                <w:sz w:val="13"/>
              </w:rPr>
              <w:t>DEC-142</w:t>
            </w:r>
          </w:p>
        </w:tc>
        <w:tc>
          <w:tcPr>
            <w:tcW w:type="dxa" w:w="4140"/>
            <w:vAlign w:val="center"/>
          </w:tcPr>
          <w:p>
            <w:pPr>
              <w:spacing w:after="0"/>
            </w:pPr>
            <w:r/>
            <w:r>
              <w:rPr>
                <w:rFonts w:ascii="Calibri" w:hAnsi="Calibri"/>
                <w:b w:val="0"/>
                <w:color w:val="333537"/>
                <w:sz w:val="13"/>
              </w:rPr>
              <w:t>DEC-142 — PPK-002 journal proof and rollback anchor</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docs/decisions/DEC-142-ppk-002-journal-proof-and-rollback-anchor.md</w:t>
            </w:r>
          </w:p>
        </w:tc>
      </w:tr>
      <w:tr>
        <w:tc>
          <w:tcPr>
            <w:tcW w:type="dxa" w:w="850"/>
            <w:vAlign w:val="center"/>
          </w:tcPr>
          <w:p>
            <w:pPr>
              <w:spacing w:after="0"/>
            </w:pPr>
            <w:r/>
            <w:r>
              <w:rPr>
                <w:rFonts w:ascii="Calibri" w:hAnsi="Calibri"/>
                <w:b w:val="0"/>
                <w:color w:val="333537"/>
                <w:sz w:val="13"/>
              </w:rPr>
              <w:t>DEC-143</w:t>
            </w:r>
          </w:p>
        </w:tc>
        <w:tc>
          <w:tcPr>
            <w:tcW w:type="dxa" w:w="4140"/>
            <w:vAlign w:val="center"/>
          </w:tcPr>
          <w:p>
            <w:pPr>
              <w:spacing w:after="0"/>
            </w:pPr>
            <w:r/>
            <w:r>
              <w:rPr>
                <w:rFonts w:ascii="Calibri" w:hAnsi="Calibri"/>
                <w:b w:val="0"/>
                <w:color w:val="333537"/>
                <w:sz w:val="13"/>
              </w:rPr>
              <w:t>DEC-143 — PPK-002 archive core-table receipt fence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docs/decisions/DEC-143-ppk-002-archive-core-table-receipt-fence.md</w:t>
            </w:r>
          </w:p>
        </w:tc>
      </w:tr>
      <w:tr>
        <w:tc>
          <w:tcPr>
            <w:tcW w:type="dxa" w:w="850"/>
            <w:vAlign w:val="center"/>
          </w:tcPr>
          <w:p>
            <w:pPr>
              <w:spacing w:after="0"/>
            </w:pPr>
            <w:r/>
            <w:r>
              <w:rPr>
                <w:rFonts w:ascii="Calibri" w:hAnsi="Calibri"/>
                <w:b w:val="0"/>
                <w:color w:val="333537"/>
                <w:sz w:val="13"/>
              </w:rPr>
              <w:t>DEC-144</w:t>
            </w:r>
          </w:p>
        </w:tc>
        <w:tc>
          <w:tcPr>
            <w:tcW w:type="dxa" w:w="4140"/>
            <w:vAlign w:val="center"/>
          </w:tcPr>
          <w:p>
            <w:pPr>
              <w:spacing w:after="0"/>
            </w:pPr>
            <w:r/>
            <w:r>
              <w:rPr>
                <w:rFonts w:ascii="Calibri" w:hAnsi="Calibri"/>
                <w:b w:val="0"/>
                <w:color w:val="333537"/>
                <w:sz w:val="13"/>
              </w:rPr>
              <w:t>DEC-144 — PPK-002 archive accessory and event-attachment receipt fence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docs/decisions/DEC-144-ppk-002-archive-accessory-and-event-attachment-receipt-fence.md</w:t>
            </w:r>
          </w:p>
        </w:tc>
      </w:tr>
      <w:tr>
        <w:tc>
          <w:tcPr>
            <w:tcW w:type="dxa" w:w="850"/>
            <w:vAlign w:val="center"/>
          </w:tcPr>
          <w:p>
            <w:pPr>
              <w:spacing w:after="0"/>
            </w:pPr>
            <w:r/>
            <w:r>
              <w:rPr>
                <w:rFonts w:ascii="Calibri" w:hAnsi="Calibri"/>
                <w:b w:val="0"/>
                <w:color w:val="333537"/>
                <w:sz w:val="13"/>
              </w:rPr>
              <w:t>DEC-145</w:t>
            </w:r>
          </w:p>
        </w:tc>
        <w:tc>
          <w:tcPr>
            <w:tcW w:type="dxa" w:w="4140"/>
            <w:vAlign w:val="center"/>
          </w:tcPr>
          <w:p>
            <w:pPr>
              <w:spacing w:after="0"/>
            </w:pPr>
            <w:r/>
            <w:r>
              <w:rPr>
                <w:rFonts w:ascii="Calibri" w:hAnsi="Calibri"/>
                <w:b w:val="0"/>
                <w:color w:val="333537"/>
                <w:sz w:val="13"/>
              </w:rPr>
              <w:t>DEC-145 — PPK-002 new-correlation operation idempotency</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docs/decisions/DEC-145-ppk-002-new-correlation-operation-idempotency.md</w:t>
            </w:r>
          </w:p>
        </w:tc>
      </w:tr>
      <w:tr>
        <w:tc>
          <w:tcPr>
            <w:tcW w:type="dxa" w:w="850"/>
            <w:vAlign w:val="center"/>
          </w:tcPr>
          <w:p>
            <w:pPr>
              <w:spacing w:after="0"/>
            </w:pPr>
            <w:r/>
            <w:r>
              <w:rPr>
                <w:rFonts w:ascii="Calibri" w:hAnsi="Calibri"/>
                <w:b w:val="0"/>
                <w:color w:val="333537"/>
                <w:sz w:val="13"/>
              </w:rPr>
              <w:t>DEC-146</w:t>
            </w:r>
          </w:p>
        </w:tc>
        <w:tc>
          <w:tcPr>
            <w:tcW w:type="dxa" w:w="4140"/>
            <w:vAlign w:val="center"/>
          </w:tcPr>
          <w:p>
            <w:pPr>
              <w:spacing w:after="0"/>
            </w:pPr>
            <w:r/>
            <w:r>
              <w:rPr>
                <w:rFonts w:ascii="Calibri" w:hAnsi="Calibri"/>
                <w:b w:val="0"/>
                <w:color w:val="333537"/>
                <w:sz w:val="13"/>
              </w:rPr>
              <w:t>DEC-146 — PPK-002 kalıcı bekleyen işlem kimliği kurtarma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docs/decisions/DEC-146-ppk-002-durable-pending-operation-identity-recovery.md</w:t>
            </w:r>
          </w:p>
        </w:tc>
      </w:tr>
      <w:tr>
        <w:tc>
          <w:tcPr>
            <w:tcW w:type="dxa" w:w="850"/>
            <w:vAlign w:val="center"/>
          </w:tcPr>
          <w:p>
            <w:pPr>
              <w:spacing w:after="0"/>
            </w:pPr>
            <w:r/>
            <w:r>
              <w:rPr>
                <w:rFonts w:ascii="Calibri" w:hAnsi="Calibri"/>
                <w:b w:val="0"/>
                <w:color w:val="333537"/>
                <w:sz w:val="13"/>
              </w:rPr>
              <w:t>DEC-147</w:t>
            </w:r>
          </w:p>
        </w:tc>
        <w:tc>
          <w:tcPr>
            <w:tcW w:type="dxa" w:w="4140"/>
            <w:vAlign w:val="center"/>
          </w:tcPr>
          <w:p>
            <w:pPr>
              <w:spacing w:after="0"/>
            </w:pPr>
            <w:r/>
            <w:r>
              <w:rPr>
                <w:rFonts w:ascii="Calibri" w:hAnsi="Calibri"/>
                <w:b w:val="0"/>
                <w:color w:val="333537"/>
                <w:sz w:val="13"/>
              </w:rPr>
              <w:t>DEC-147 — PPK-002 süresi dolmuş kullanılmamış replay rezervasyonu temizliği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docs/decisions/DEC-147-ppk-002-expired-replay-reservation-pruning.md</w:t>
            </w:r>
          </w:p>
        </w:tc>
      </w:tr>
      <w:tr>
        <w:tc>
          <w:tcPr>
            <w:tcW w:type="dxa" w:w="850"/>
            <w:vAlign w:val="center"/>
          </w:tcPr>
          <w:p>
            <w:pPr>
              <w:spacing w:after="0"/>
            </w:pPr>
            <w:r/>
            <w:r>
              <w:rPr>
                <w:rFonts w:ascii="Calibri" w:hAnsi="Calibri"/>
                <w:b w:val="0"/>
                <w:color w:val="333537"/>
                <w:sz w:val="13"/>
              </w:rPr>
              <w:t>DEC-148</w:t>
            </w:r>
          </w:p>
        </w:tc>
        <w:tc>
          <w:tcPr>
            <w:tcW w:type="dxa" w:w="4140"/>
            <w:vAlign w:val="center"/>
          </w:tcPr>
          <w:p>
            <w:pPr>
              <w:spacing w:after="0"/>
            </w:pPr>
            <w:r/>
            <w:r>
              <w:rPr>
                <w:rFonts w:ascii="Calibri" w:hAnsi="Calibri"/>
                <w:b w:val="0"/>
                <w:color w:val="333537"/>
                <w:sz w:val="13"/>
              </w:rPr>
              <w:t>DEC-148 — PPK-002 finans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docs/decisions/DEC-148-ppk-002-finance-policy-enforcement.md</w:t>
            </w:r>
          </w:p>
        </w:tc>
      </w:tr>
      <w:tr>
        <w:tc>
          <w:tcPr>
            <w:tcW w:type="dxa" w:w="850"/>
            <w:vAlign w:val="center"/>
          </w:tcPr>
          <w:p>
            <w:pPr>
              <w:spacing w:after="0"/>
            </w:pPr>
            <w:r/>
            <w:r>
              <w:rPr>
                <w:rFonts w:ascii="Calibri" w:hAnsi="Calibri"/>
                <w:b w:val="0"/>
                <w:color w:val="333537"/>
                <w:sz w:val="13"/>
              </w:rPr>
              <w:t>DEC-149</w:t>
            </w:r>
          </w:p>
        </w:tc>
        <w:tc>
          <w:tcPr>
            <w:tcW w:type="dxa" w:w="4140"/>
            <w:vAlign w:val="center"/>
          </w:tcPr>
          <w:p>
            <w:pPr>
              <w:spacing w:after="0"/>
            </w:pPr>
            <w:r/>
            <w:r>
              <w:rPr>
                <w:rFonts w:ascii="Calibri" w:hAnsi="Calibri"/>
                <w:b w:val="0"/>
                <w:color w:val="333537"/>
                <w:sz w:val="13"/>
              </w:rPr>
              <w:t>DEC-149 — PPK-002 sağlık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docs/decisions/DEC-149-ppk-002-health-policy-enforcement.md</w:t>
            </w:r>
          </w:p>
        </w:tc>
      </w:tr>
      <w:tr>
        <w:tc>
          <w:tcPr>
            <w:tcW w:type="dxa" w:w="850"/>
            <w:vAlign w:val="center"/>
          </w:tcPr>
          <w:p>
            <w:pPr>
              <w:spacing w:after="0"/>
            </w:pPr>
            <w:r/>
            <w:r>
              <w:rPr>
                <w:rFonts w:ascii="Calibri" w:hAnsi="Calibri"/>
                <w:b w:val="0"/>
                <w:color w:val="333537"/>
                <w:sz w:val="13"/>
              </w:rPr>
              <w:t>DEC-150</w:t>
            </w:r>
          </w:p>
        </w:tc>
        <w:tc>
          <w:tcPr>
            <w:tcW w:type="dxa" w:w="4140"/>
            <w:vAlign w:val="center"/>
          </w:tcPr>
          <w:p>
            <w:pPr>
              <w:spacing w:after="0"/>
            </w:pPr>
            <w:r/>
            <w:r>
              <w:rPr>
                <w:rFonts w:ascii="Calibri" w:hAnsi="Calibri"/>
                <w:b w:val="0"/>
                <w:color w:val="333537"/>
                <w:sz w:val="13"/>
              </w:rPr>
              <w:t>DEC-150 — PPK-002 yaşam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docs/decisions/DEC-150-ppk-002-life-policy-enforcement.md</w:t>
            </w:r>
          </w:p>
        </w:tc>
      </w:tr>
      <w:tr>
        <w:tc>
          <w:tcPr>
            <w:tcW w:type="dxa" w:w="850"/>
            <w:vAlign w:val="center"/>
          </w:tcPr>
          <w:p>
            <w:pPr>
              <w:spacing w:after="0"/>
            </w:pPr>
            <w:r/>
            <w:r>
              <w:rPr>
                <w:rFonts w:ascii="Calibri" w:hAnsi="Calibri"/>
                <w:b w:val="0"/>
                <w:color w:val="333537"/>
                <w:sz w:val="13"/>
              </w:rPr>
              <w:t>DEC-151</w:t>
            </w:r>
          </w:p>
        </w:tc>
        <w:tc>
          <w:tcPr>
            <w:tcW w:type="dxa" w:w="4140"/>
            <w:vAlign w:val="center"/>
          </w:tcPr>
          <w:p>
            <w:pPr>
              <w:spacing w:after="0"/>
            </w:pPr>
            <w:r/>
            <w:r>
              <w:rPr>
                <w:rFonts w:ascii="Calibri" w:hAnsi="Calibri"/>
                <w:b w:val="0"/>
                <w:color w:val="333537"/>
                <w:sz w:val="13"/>
              </w:rPr>
              <w:t>DEC-151 — PPK-002 konum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docs/decisions/DEC-151-ppk-002-location-policy-enforcement.md</w:t>
            </w:r>
          </w:p>
        </w:tc>
      </w:tr>
      <w:tr>
        <w:tc>
          <w:tcPr>
            <w:tcW w:type="dxa" w:w="850"/>
            <w:vAlign w:val="center"/>
          </w:tcPr>
          <w:p>
            <w:pPr>
              <w:spacing w:after="0"/>
            </w:pPr>
            <w:r/>
            <w:r>
              <w:rPr>
                <w:rFonts w:ascii="Calibri" w:hAnsi="Calibri"/>
                <w:b w:val="0"/>
                <w:color w:val="333537"/>
                <w:sz w:val="13"/>
              </w:rPr>
              <w:t>DEC-152</w:t>
            </w:r>
          </w:p>
        </w:tc>
        <w:tc>
          <w:tcPr>
            <w:tcW w:type="dxa" w:w="4140"/>
            <w:vAlign w:val="center"/>
          </w:tcPr>
          <w:p>
            <w:pPr>
              <w:spacing w:after="0"/>
            </w:pPr>
            <w:r/>
            <w:r>
              <w:rPr>
                <w:rFonts w:ascii="Calibri" w:hAnsi="Calibri"/>
                <w:b w:val="0"/>
                <w:color w:val="333537"/>
                <w:sz w:val="13"/>
              </w:rPr>
              <w:t>DEC-152 - Tek yetkili kaynak, yerel receipt ve Build numaralandirmasi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docs/decisions/DEC-152-authoritative-source-local-receipt-and-build-numbering.md</w:t>
            </w:r>
          </w:p>
        </w:tc>
      </w:tr>
      <w:tr>
        <w:tc>
          <w:tcPr>
            <w:tcW w:type="dxa" w:w="850"/>
            <w:vAlign w:val="center"/>
          </w:tcPr>
          <w:p>
            <w:pPr>
              <w:spacing w:after="0"/>
            </w:pPr>
            <w:r/>
            <w:r>
              <w:rPr>
                <w:rFonts w:ascii="Calibri" w:hAnsi="Calibri"/>
                <w:b w:val="0"/>
                <w:color w:val="333537"/>
                <w:sz w:val="13"/>
              </w:rPr>
              <w:t>DEC-153</w:t>
            </w:r>
          </w:p>
        </w:tc>
        <w:tc>
          <w:tcPr>
            <w:tcW w:type="dxa" w:w="4140"/>
            <w:vAlign w:val="center"/>
          </w:tcPr>
          <w:p>
            <w:pPr>
              <w:spacing w:after="0"/>
            </w:pPr>
            <w:r/>
            <w:r>
              <w:rPr>
                <w:rFonts w:ascii="Calibri" w:hAnsi="Calibri"/>
                <w:b w:val="0"/>
                <w:color w:val="333537"/>
                <w:sz w:val="13"/>
              </w:rPr>
              <w:t>DEC-153 - B0-01 tek yonetisim ve ozellik gercekligi matrisi kapanisi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docs/decisions/DEC-153-b0-01-governance-reality-matrix-closure.md</w:t>
            </w:r>
          </w:p>
        </w:tc>
      </w:tr>
      <w:tr>
        <w:tc>
          <w:tcPr>
            <w:tcW w:type="dxa" w:w="850"/>
            <w:vAlign w:val="center"/>
          </w:tcPr>
          <w:p>
            <w:pPr>
              <w:spacing w:after="0"/>
            </w:pPr>
            <w:r/>
            <w:r>
              <w:rPr>
                <w:rFonts w:ascii="Calibri" w:hAnsi="Calibri"/>
                <w:b w:val="0"/>
                <w:color w:val="333537"/>
                <w:sz w:val="13"/>
              </w:rPr>
              <w:t>DEC-154</w:t>
            </w:r>
          </w:p>
        </w:tc>
        <w:tc>
          <w:tcPr>
            <w:tcW w:type="dxa" w:w="4140"/>
            <w:vAlign w:val="center"/>
          </w:tcPr>
          <w:p>
            <w:pPr>
              <w:spacing w:after="0"/>
            </w:pPr>
            <w:r/>
            <w:r>
              <w:rPr>
                <w:rFonts w:ascii="Calibri" w:hAnsi="Calibri"/>
                <w:b w:val="0"/>
                <w:color w:val="333537"/>
                <w:sz w:val="13"/>
              </w:rPr>
              <w:t>DEC-154 - GOV-004 guncel teslim raporu kapanisi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docs/decisions/DEC-154-gov-004-current-delivery-report-closure.md</w:t>
            </w:r>
          </w:p>
        </w:tc>
      </w:tr>
      <w:tr>
        <w:tc>
          <w:tcPr>
            <w:tcW w:type="dxa" w:w="850"/>
            <w:vAlign w:val="center"/>
          </w:tcPr>
          <w:p>
            <w:pPr>
              <w:spacing w:after="0"/>
            </w:pPr>
            <w:r/>
            <w:r>
              <w:rPr>
                <w:rFonts w:ascii="Calibri" w:hAnsi="Calibri"/>
                <w:b w:val="0"/>
                <w:color w:val="333537"/>
                <w:sz w:val="13"/>
              </w:rPr>
              <w:t>DEC-155</w:t>
            </w:r>
          </w:p>
        </w:tc>
        <w:tc>
          <w:tcPr>
            <w:tcW w:type="dxa" w:w="4140"/>
            <w:vAlign w:val="center"/>
          </w:tcPr>
          <w:p>
            <w:pPr>
              <w:spacing w:after="0"/>
            </w:pPr>
            <w:r/>
            <w:r>
              <w:rPr>
                <w:rFonts w:ascii="Calibri" w:hAnsi="Calibri"/>
                <w:b w:val="0"/>
                <w:color w:val="333537"/>
                <w:sz w:val="13"/>
              </w:rPr>
              <w:t>DEC-155 - GOV-005 harici Library engel siniflandirmasi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docs/decisions/DEC-155-gov-005-external-library-blocker-classification.md</w:t>
            </w:r>
          </w:p>
        </w:tc>
      </w:tr>
      <w:tr>
        <w:tc>
          <w:tcPr>
            <w:tcW w:type="dxa" w:w="850"/>
            <w:vAlign w:val="center"/>
          </w:tcPr>
          <w:p>
            <w:pPr>
              <w:spacing w:after="0"/>
            </w:pPr>
            <w:r/>
            <w:r>
              <w:rPr>
                <w:rFonts w:ascii="Calibri" w:hAnsi="Calibri"/>
                <w:b w:val="0"/>
                <w:color w:val="333537"/>
                <w:sz w:val="13"/>
              </w:rPr>
              <w:t>DEC-156</w:t>
            </w:r>
          </w:p>
        </w:tc>
        <w:tc>
          <w:tcPr>
            <w:tcW w:type="dxa" w:w="4140"/>
            <w:vAlign w:val="center"/>
          </w:tcPr>
          <w:p>
            <w:pPr>
              <w:spacing w:after="0"/>
            </w:pPr>
            <w:r/>
            <w:r>
              <w:rPr>
                <w:rFonts w:ascii="Calibri" w:hAnsi="Calibri"/>
                <w:b w:val="0"/>
                <w:color w:val="333537"/>
                <w:sz w:val="13"/>
              </w:rPr>
              <w:t>DEC-156 - PPK-002 timeline-event politika enforcement yerel devam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docs/decisions/DEC-156-ppk-002-timeline-event-policy-local-continuation.md</w:t>
            </w:r>
          </w:p>
        </w:tc>
      </w:tr>
      <w:tr>
        <w:tc>
          <w:tcPr>
            <w:tcW w:type="dxa" w:w="850"/>
            <w:vAlign w:val="center"/>
          </w:tcPr>
          <w:p>
            <w:pPr>
              <w:spacing w:after="0"/>
            </w:pPr>
            <w:r/>
            <w:r>
              <w:rPr>
                <w:rFonts w:ascii="Calibri" w:hAnsi="Calibri"/>
                <w:b w:val="0"/>
                <w:color w:val="333537"/>
                <w:sz w:val="13"/>
              </w:rPr>
              <w:t>DEC-157</w:t>
            </w:r>
          </w:p>
        </w:tc>
        <w:tc>
          <w:tcPr>
            <w:tcW w:type="dxa" w:w="4140"/>
            <w:vAlign w:val="center"/>
          </w:tcPr>
          <w:p>
            <w:pPr>
              <w:spacing w:after="0"/>
            </w:pPr>
            <w:r/>
            <w:r>
              <w:rPr>
                <w:rFonts w:ascii="Calibri" w:hAnsi="Calibri"/>
                <w:b w:val="0"/>
                <w:color w:val="333537"/>
                <w:sz w:val="13"/>
              </w:rPr>
              <w:t>DEC-157 - PPK-002 aile veri aktarımı merkezi yetkilendirme yerel devam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docs/decisions/DEC-157-ppk-002-family-data-import-central-authorization-local-continuation.md</w:t>
            </w:r>
          </w:p>
        </w:tc>
      </w:tr>
      <w:tr>
        <w:tc>
          <w:tcPr>
            <w:tcW w:type="dxa" w:w="850"/>
            <w:vAlign w:val="center"/>
          </w:tcPr>
          <w:p>
            <w:pPr>
              <w:spacing w:after="0"/>
            </w:pPr>
            <w:r/>
            <w:r>
              <w:rPr>
                <w:rFonts w:ascii="Calibri" w:hAnsi="Calibri"/>
                <w:b w:val="0"/>
                <w:color w:val="333537"/>
                <w:sz w:val="13"/>
              </w:rPr>
              <w:t>DEC-158</w:t>
            </w:r>
          </w:p>
        </w:tc>
        <w:tc>
          <w:tcPr>
            <w:tcW w:type="dxa" w:w="4140"/>
            <w:vAlign w:val="center"/>
          </w:tcPr>
          <w:p>
            <w:pPr>
              <w:spacing w:after="0"/>
            </w:pPr>
            <w:r/>
            <w:r>
              <w:rPr>
                <w:rFonts w:ascii="Calibri" w:hAnsi="Calibri"/>
                <w:b w:val="0"/>
                <w:color w:val="333537"/>
                <w:sz w:val="13"/>
              </w:rPr>
              <w:t>DEC-158 — 30-Z harici USB Library makbuzu</w:t>
            </w:r>
          </w:p>
        </w:tc>
        <w:tc>
          <w:tcPr>
            <w:tcW w:type="dxa" w:w="1500"/>
            <w:vAlign w:val="center"/>
          </w:tcPr>
          <w:p>
            <w:pPr>
              <w:spacing w:after="0"/>
            </w:pPr>
            <w:r/>
            <w:r>
              <w:rPr>
                <w:rFonts w:ascii="Calibri" w:hAnsi="Calibri"/>
                <w:b w:val="0"/>
                <w:color w:val="333537"/>
                <w:sz w:val="13"/>
              </w:rPr>
              <w:t>Kabul edildi</w:t>
            </w:r>
          </w:p>
        </w:tc>
        <w:tc>
          <w:tcPr>
            <w:tcW w:type="dxa" w:w="2870"/>
            <w:vAlign w:val="center"/>
          </w:tcPr>
          <w:p>
            <w:pPr>
              <w:spacing w:after="0"/>
            </w:pPr>
            <w:r/>
            <w:r>
              <w:rPr>
                <w:rFonts w:ascii="Calibri" w:hAnsi="Calibri"/>
                <w:b w:val="0"/>
                <w:color w:val="333537"/>
                <w:sz w:val="13"/>
              </w:rPr>
              <w:t>docs/decisions/DEC-158-30-z-external-usb-library-receipt.md</w:t>
            </w:r>
          </w:p>
        </w:tc>
      </w:tr>
      <w:tr>
        <w:tc>
          <w:tcPr>
            <w:tcW w:type="dxa" w:w="850"/>
            <w:vAlign w:val="center"/>
          </w:tcPr>
          <w:p>
            <w:pPr>
              <w:spacing w:after="0"/>
            </w:pPr>
            <w:r/>
            <w:r>
              <w:rPr>
                <w:rFonts w:ascii="Calibri" w:hAnsi="Calibri"/>
                <w:b w:val="0"/>
                <w:color w:val="333537"/>
                <w:sz w:val="13"/>
              </w:rPr>
              <w:t>DEC-159</w:t>
            </w:r>
          </w:p>
        </w:tc>
        <w:tc>
          <w:tcPr>
            <w:tcW w:type="dxa" w:w="4140"/>
            <w:vAlign w:val="center"/>
          </w:tcPr>
          <w:p>
            <w:pPr>
              <w:spacing w:after="0"/>
            </w:pPr>
            <w:r/>
            <w:r>
              <w:rPr>
                <w:rFonts w:ascii="Calibri" w:hAnsi="Calibri"/>
                <w:b w:val="0"/>
                <w:color w:val="333537"/>
                <w:sz w:val="13"/>
              </w:rPr>
              <w:t>DEC-159 — PPK-002 timeline-event Policy Enforcement resmî checkpoint seçimi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docs/decisions/DEC-159-ppk-002-timeline-event-policy-official-checkpoint.md</w:t>
            </w:r>
          </w:p>
        </w:tc>
      </w:tr>
      <w:tr>
        <w:tc>
          <w:tcPr>
            <w:tcW w:type="dxa" w:w="850"/>
            <w:vAlign w:val="center"/>
          </w:tcPr>
          <w:p>
            <w:pPr>
              <w:spacing w:after="0"/>
            </w:pPr>
            <w:r/>
            <w:r>
              <w:rPr>
                <w:rFonts w:ascii="Calibri" w:hAnsi="Calibri"/>
                <w:b w:val="0"/>
                <w:color w:val="333537"/>
                <w:sz w:val="13"/>
              </w:rPr>
              <w:t>DEC-160</w:t>
            </w:r>
          </w:p>
        </w:tc>
        <w:tc>
          <w:tcPr>
            <w:tcW w:type="dxa" w:w="4140"/>
            <w:vAlign w:val="center"/>
          </w:tcPr>
          <w:p>
            <w:pPr>
              <w:spacing w:after="0"/>
            </w:pPr>
            <w:r/>
            <w:r>
              <w:rPr>
                <w:rFonts w:ascii="Calibri" w:hAnsi="Calibri"/>
                <w:b w:val="0"/>
                <w:color w:val="333537"/>
                <w:sz w:val="13"/>
              </w:rPr>
              <w:t>DEC-160 — PPK-002 aile veri aktarımı merkezi yetkilendirme resmî checkpoint seçimi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docs/decisions/DEC-160-ppk-002-family-data-import-central-authorization-official-checkpoint.md</w:t>
            </w:r>
          </w:p>
        </w:tc>
      </w:tr>
      <w:tr>
        <w:tc>
          <w:tcPr>
            <w:tcW w:type="dxa" w:w="850"/>
            <w:vAlign w:val="center"/>
          </w:tcPr>
          <w:p>
            <w:pPr>
              <w:spacing w:after="0"/>
            </w:pPr>
            <w:r/>
            <w:r>
              <w:rPr>
                <w:rFonts w:ascii="Calibri" w:hAnsi="Calibri"/>
                <w:b w:val="0"/>
                <w:color w:val="333537"/>
                <w:sz w:val="13"/>
              </w:rPr>
              <w:t>DEC-161</w:t>
            </w:r>
          </w:p>
        </w:tc>
        <w:tc>
          <w:tcPr>
            <w:tcW w:type="dxa" w:w="4140"/>
            <w:vAlign w:val="center"/>
          </w:tcPr>
          <w:p>
            <w:pPr>
              <w:spacing w:after="0"/>
            </w:pPr>
            <w:r/>
            <w:r>
              <w:rPr>
                <w:rFonts w:ascii="Calibri" w:hAnsi="Calibri"/>
                <w:b w:val="0"/>
                <w:color w:val="333537"/>
                <w:sz w:val="13"/>
              </w:rPr>
              <w:t>DEC-161 — PPK-002 aile içe aktarma çoklu politika makbuzu batch checkpoint’i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docs/decisions/DEC-161-ppk-002-family-import-multi-policy-receipt-batch.md</w:t>
            </w:r>
          </w:p>
        </w:tc>
      </w:tr>
      <w:tr>
        <w:tc>
          <w:tcPr>
            <w:tcW w:type="dxa" w:w="850"/>
            <w:vAlign w:val="center"/>
          </w:tcPr>
          <w:p>
            <w:pPr>
              <w:spacing w:after="0"/>
            </w:pPr>
            <w:r/>
            <w:r>
              <w:rPr>
                <w:rFonts w:ascii="Calibri" w:hAnsi="Calibri"/>
                <w:b w:val="0"/>
                <w:color w:val="333537"/>
                <w:sz w:val="13"/>
              </w:rPr>
              <w:t>DEC-162</w:t>
            </w:r>
          </w:p>
        </w:tc>
        <w:tc>
          <w:tcPr>
            <w:tcW w:type="dxa" w:w="4140"/>
            <w:vAlign w:val="center"/>
          </w:tcPr>
          <w:p>
            <w:pPr>
              <w:spacing w:after="0"/>
            </w:pPr>
            <w:r/>
            <w:r>
              <w:rPr>
                <w:rFonts w:ascii="Calibri" w:hAnsi="Calibri"/>
                <w:b w:val="0"/>
                <w:color w:val="333537"/>
                <w:sz w:val="13"/>
              </w:rPr>
              <w:t>DEC-162 — Windows Hello donanım doğrulamasının geçici ertelenmesi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docs/decisions/DEC-162-windows-hello-hardware-validation-deferral.md</w:t>
            </w:r>
          </w:p>
        </w:tc>
      </w:tr>
      <w:tr>
        <w:tc>
          <w:tcPr>
            <w:tcW w:type="dxa" w:w="850"/>
            <w:vAlign w:val="center"/>
          </w:tcPr>
          <w:p>
            <w:pPr>
              <w:spacing w:after="0"/>
            </w:pPr>
            <w:r/>
            <w:r>
              <w:rPr>
                <w:rFonts w:ascii="Calibri" w:hAnsi="Calibri"/>
                <w:b w:val="0"/>
                <w:color w:val="333537"/>
                <w:sz w:val="13"/>
              </w:rPr>
              <w:t>DEC-163</w:t>
            </w:r>
          </w:p>
        </w:tc>
        <w:tc>
          <w:tcPr>
            <w:tcW w:type="dxa" w:w="4140"/>
            <w:vAlign w:val="center"/>
          </w:tcPr>
          <w:p>
            <w:pPr>
              <w:spacing w:after="0"/>
            </w:pPr>
            <w:r/>
            <w:r>
              <w:rPr>
                <w:rFonts w:ascii="Calibri" w:hAnsi="Calibri"/>
                <w:b w:val="0"/>
                <w:color w:val="333537"/>
                <w:sz w:val="13"/>
              </w:rPr>
              <w:t>DEC-163 — PPK-002 aile içe aktarma mevcut-konum okuma makbuzu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docs/decisions/DEC-163-ppk-002-family-import-reused-location-read-receipt.md</w:t>
            </w:r>
          </w:p>
        </w:tc>
      </w:tr>
      <w:tr>
        <w:tc>
          <w:tcPr>
            <w:tcW w:type="dxa" w:w="850"/>
            <w:vAlign w:val="center"/>
          </w:tcPr>
          <w:p>
            <w:pPr>
              <w:spacing w:after="0"/>
            </w:pPr>
            <w:r/>
            <w:r>
              <w:rPr>
                <w:rFonts w:ascii="Calibri" w:hAnsi="Calibri"/>
                <w:b w:val="0"/>
                <w:color w:val="333537"/>
                <w:sz w:val="13"/>
              </w:rPr>
              <w:t>DEC-164</w:t>
            </w:r>
          </w:p>
        </w:tc>
        <w:tc>
          <w:tcPr>
            <w:tcW w:type="dxa" w:w="4140"/>
            <w:vAlign w:val="center"/>
          </w:tcPr>
          <w:p>
            <w:pPr>
              <w:spacing w:after="0"/>
            </w:pPr>
            <w:r/>
            <w:r>
              <w:rPr>
                <w:rFonts w:ascii="Calibri" w:hAnsi="Calibri"/>
                <w:b w:val="0"/>
                <w:color w:val="333537"/>
                <w:sz w:val="13"/>
              </w:rPr>
              <w:t>DEC-164 — GOV-005 haricî USB ana kaynak koruması kapanışı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docs/decisions/DEC-164-gov-005-external-usb-source-protection-closure.md</w:t>
            </w:r>
          </w:p>
        </w:tc>
      </w:tr>
      <w:tr>
        <w:tc>
          <w:tcPr>
            <w:tcW w:type="dxa" w:w="850"/>
            <w:vAlign w:val="center"/>
          </w:tcPr>
          <w:p>
            <w:pPr>
              <w:spacing w:after="0"/>
            </w:pPr>
            <w:r/>
            <w:r>
              <w:rPr>
                <w:rFonts w:ascii="Calibri" w:hAnsi="Calibri"/>
                <w:b w:val="0"/>
                <w:color w:val="333537"/>
                <w:sz w:val="13"/>
              </w:rPr>
              <w:t>DEC-165</w:t>
            </w:r>
          </w:p>
        </w:tc>
        <w:tc>
          <w:tcPr>
            <w:tcW w:type="dxa" w:w="4140"/>
            <w:vAlign w:val="center"/>
          </w:tcPr>
          <w:p>
            <w:pPr>
              <w:spacing w:after="0"/>
            </w:pPr>
            <w:r/>
            <w:r>
              <w:rPr>
                <w:rFonts w:ascii="Calibri" w:hAnsi="Calibri"/>
                <w:b w:val="0"/>
                <w:color w:val="333537"/>
                <w:sz w:val="13"/>
              </w:rPr>
              <w:t>DEC-165 — B0-02 kullanıcıya görünür sürüm metadata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docs/decisions/DEC-165-b0-02-user-visible-release-metadata-boundary.md</w:t>
            </w:r>
          </w:p>
        </w:tc>
      </w:tr>
      <w:tr>
        <w:tc>
          <w:tcPr>
            <w:tcW w:type="dxa" w:w="850"/>
            <w:vAlign w:val="center"/>
          </w:tcPr>
          <w:p>
            <w:pPr>
              <w:spacing w:after="0"/>
            </w:pPr>
            <w:r/>
            <w:r>
              <w:rPr>
                <w:rFonts w:ascii="Calibri" w:hAnsi="Calibri"/>
                <w:b w:val="0"/>
                <w:color w:val="333537"/>
                <w:sz w:val="13"/>
              </w:rPr>
              <w:t>DEC-166</w:t>
            </w:r>
          </w:p>
        </w:tc>
        <w:tc>
          <w:tcPr>
            <w:tcW w:type="dxa" w:w="4140"/>
            <w:vAlign w:val="center"/>
          </w:tcPr>
          <w:p>
            <w:pPr>
              <w:spacing w:after="0"/>
            </w:pPr>
            <w:r/>
            <w:r>
              <w:rPr>
                <w:rFonts w:ascii="Calibri" w:hAnsi="Calibri"/>
                <w:b w:val="0"/>
                <w:color w:val="333537"/>
                <w:sz w:val="13"/>
              </w:rPr>
              <w:t>DEC-166 — PPK-002 aile içe aktarma yeni-konum bağlı etkinlik zinciri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docs/decisions/DEC-166-ppk-002-family-import-created-location-linked-event.md</w:t>
            </w:r>
          </w:p>
        </w:tc>
      </w:tr>
      <w:tr>
        <w:tc>
          <w:tcPr>
            <w:tcW w:type="dxa" w:w="850"/>
            <w:vAlign w:val="center"/>
          </w:tcPr>
          <w:p>
            <w:pPr>
              <w:spacing w:after="0"/>
            </w:pPr>
            <w:r/>
            <w:r>
              <w:rPr>
                <w:rFonts w:ascii="Calibri" w:hAnsi="Calibri"/>
                <w:b w:val="0"/>
                <w:color w:val="333537"/>
                <w:sz w:val="13"/>
              </w:rPr>
              <w:t>DEC-167</w:t>
            </w:r>
          </w:p>
        </w:tc>
        <w:tc>
          <w:tcPr>
            <w:tcW w:type="dxa" w:w="4140"/>
            <w:vAlign w:val="center"/>
          </w:tcPr>
          <w:p>
            <w:pPr>
              <w:spacing w:after="0"/>
            </w:pPr>
            <w:r/>
            <w:r>
              <w:rPr>
                <w:rFonts w:ascii="Calibri" w:hAnsi="Calibri"/>
                <w:b w:val="0"/>
                <w:color w:val="333537"/>
                <w:sz w:val="13"/>
              </w:rPr>
              <w:t>DEC-167 — PPK-002 aile içe aktarma governed rollback makbuz çiti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docs/decisions/DEC-167-ppk-002-family-import-governed-rollback-receipt-fence.md</w:t>
            </w:r>
          </w:p>
        </w:tc>
      </w:tr>
      <w:tr>
        <w:tc>
          <w:tcPr>
            <w:tcW w:type="dxa" w:w="850"/>
            <w:vAlign w:val="center"/>
          </w:tcPr>
          <w:p>
            <w:pPr>
              <w:spacing w:after="0"/>
            </w:pPr>
            <w:r/>
            <w:r>
              <w:rPr>
                <w:rFonts w:ascii="Calibri" w:hAnsi="Calibri"/>
                <w:b w:val="0"/>
                <w:color w:val="333537"/>
                <w:sz w:val="13"/>
              </w:rPr>
              <w:t>DEC-168</w:t>
            </w:r>
          </w:p>
        </w:tc>
        <w:tc>
          <w:tcPr>
            <w:tcW w:type="dxa" w:w="4140"/>
            <w:vAlign w:val="center"/>
          </w:tcPr>
          <w:p>
            <w:pPr>
              <w:spacing w:after="0"/>
            </w:pPr>
            <w:r/>
            <w:r>
              <w:rPr>
                <w:rFonts w:ascii="Calibri" w:hAnsi="Calibri"/>
                <w:b w:val="0"/>
                <w:color w:val="333537"/>
                <w:sz w:val="13"/>
              </w:rPr>
              <w:t>DEC-168 — Ana yapı önce: Core Service API omurgası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docs/decisions/DEC-168-main-structure-first-core-service-api-foundation.md</w:t>
            </w:r>
          </w:p>
        </w:tc>
      </w:tr>
      <w:tr>
        <w:tc>
          <w:tcPr>
            <w:tcW w:type="dxa" w:w="850"/>
            <w:vAlign w:val="center"/>
          </w:tcPr>
          <w:p>
            <w:pPr>
              <w:spacing w:after="0"/>
            </w:pPr>
            <w:r/>
            <w:r>
              <w:rPr>
                <w:rFonts w:ascii="Calibri" w:hAnsi="Calibri"/>
                <w:b w:val="0"/>
                <w:color w:val="333537"/>
                <w:sz w:val="13"/>
              </w:rPr>
              <w:t>DEC-169</w:t>
            </w:r>
          </w:p>
        </w:tc>
        <w:tc>
          <w:tcPr>
            <w:tcW w:type="dxa" w:w="4140"/>
            <w:vAlign w:val="center"/>
          </w:tcPr>
          <w:p>
            <w:pPr>
              <w:spacing w:after="0"/>
            </w:pPr>
            <w:r/>
            <w:r>
              <w:rPr>
                <w:rFonts w:ascii="Calibri" w:hAnsi="Calibri"/>
                <w:b w:val="0"/>
                <w:color w:val="333537"/>
                <w:sz w:val="13"/>
              </w:rPr>
              <w:t>DEC-169 — Core Service korumalı aile-verisi oturumu sahiplik kontrol düzlemi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docs/decisions/DEC-169-core-service-protected-family-data-session-ownership-control-plane.md</w:t>
            </w:r>
          </w:p>
        </w:tc>
      </w:tr>
      <w:tr>
        <w:tc>
          <w:tcPr>
            <w:tcW w:type="dxa" w:w="850"/>
            <w:vAlign w:val="center"/>
          </w:tcPr>
          <w:p>
            <w:pPr>
              <w:spacing w:after="0"/>
            </w:pPr>
            <w:r/>
            <w:r>
              <w:rPr>
                <w:rFonts w:ascii="Calibri" w:hAnsi="Calibri"/>
                <w:b w:val="0"/>
                <w:color w:val="333537"/>
                <w:sz w:val="13"/>
              </w:rPr>
              <w:t>DEC-170</w:t>
            </w:r>
          </w:p>
        </w:tc>
        <w:tc>
          <w:tcPr>
            <w:tcW w:type="dxa" w:w="4140"/>
            <w:vAlign w:val="center"/>
          </w:tcPr>
          <w:p>
            <w:pPr>
              <w:spacing w:after="0"/>
            </w:pPr>
            <w:r/>
            <w:r>
              <w:rPr>
                <w:rFonts w:ascii="Calibri" w:hAnsi="Calibri"/>
                <w:b w:val="0"/>
                <w:color w:val="333537"/>
                <w:sz w:val="13"/>
              </w:rPr>
              <w:t>DEC-170 — Headless cihaz-sır koruma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docs/decisions/DEC-170-headless-device-secret-protection-boundary.md</w:t>
            </w:r>
          </w:p>
        </w:tc>
      </w:tr>
      <w:tr>
        <w:tc>
          <w:tcPr>
            <w:tcW w:type="dxa" w:w="850"/>
            <w:vAlign w:val="center"/>
          </w:tcPr>
          <w:p>
            <w:pPr>
              <w:spacing w:after="0"/>
            </w:pPr>
            <w:r/>
            <w:r>
              <w:rPr>
                <w:rFonts w:ascii="Calibri" w:hAnsi="Calibri"/>
                <w:b w:val="0"/>
                <w:color w:val="333537"/>
                <w:sz w:val="13"/>
              </w:rPr>
              <w:t>DEC-171</w:t>
            </w:r>
          </w:p>
        </w:tc>
        <w:tc>
          <w:tcPr>
            <w:tcW w:type="dxa" w:w="4140"/>
            <w:vAlign w:val="center"/>
          </w:tcPr>
          <w:p>
            <w:pPr>
              <w:spacing w:after="0"/>
            </w:pPr>
            <w:r/>
            <w:r>
              <w:rPr>
                <w:rFonts w:ascii="Calibri" w:hAnsi="Calibri"/>
                <w:b w:val="0"/>
                <w:color w:val="333537"/>
                <w:sz w:val="13"/>
              </w:rPr>
              <w:t>DEC-171 — Family-data coexistence and default-deny cutover gate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docs/decisions/DEC-171-family-data-coexistence-default-deny-cutover-gate.md</w:t>
            </w:r>
          </w:p>
        </w:tc>
      </w:tr>
      <w:tr>
        <w:tc>
          <w:tcPr>
            <w:tcW w:type="dxa" w:w="850"/>
            <w:vAlign w:val="center"/>
          </w:tcPr>
          <w:p>
            <w:pPr>
              <w:spacing w:after="0"/>
            </w:pPr>
            <w:r/>
            <w:r>
              <w:rPr>
                <w:rFonts w:ascii="Calibri" w:hAnsi="Calibri"/>
                <w:b w:val="0"/>
                <w:color w:val="333537"/>
                <w:sz w:val="13"/>
              </w:rPr>
              <w:t>DEC-172</w:t>
            </w:r>
          </w:p>
        </w:tc>
        <w:tc>
          <w:tcPr>
            <w:tcW w:type="dxa" w:w="4140"/>
            <w:vAlign w:val="center"/>
          </w:tcPr>
          <w:p>
            <w:pPr>
              <w:spacing w:after="0"/>
            </w:pPr>
            <w:r/>
            <w:r>
              <w:rPr>
                <w:rFonts w:ascii="Calibri" w:hAnsi="Calibri"/>
                <w:b w:val="0"/>
                <w:color w:val="333537"/>
                <w:sz w:val="13"/>
              </w:rPr>
              <w:t>DEC-172 — Monotonic cutover-readiness evidence and tamper-evident acceptance state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docs/decisions/DEC-172-monotonic-cutover-readiness-evidence.md</w:t>
            </w:r>
          </w:p>
        </w:tc>
      </w:tr>
      <w:tr>
        <w:tc>
          <w:tcPr>
            <w:tcW w:type="dxa" w:w="850"/>
            <w:vAlign w:val="center"/>
          </w:tcPr>
          <w:p>
            <w:pPr>
              <w:spacing w:after="0"/>
            </w:pPr>
            <w:r/>
            <w:r>
              <w:rPr>
                <w:rFonts w:ascii="Calibri" w:hAnsi="Calibri"/>
                <w:b w:val="0"/>
                <w:color w:val="333537"/>
                <w:sz w:val="13"/>
              </w:rPr>
              <w:t>DEC-173</w:t>
            </w:r>
          </w:p>
        </w:tc>
        <w:tc>
          <w:tcPr>
            <w:tcW w:type="dxa" w:w="4140"/>
            <w:vAlign w:val="center"/>
          </w:tcPr>
          <w:p>
            <w:pPr>
              <w:spacing w:after="0"/>
            </w:pPr>
            <w:r/>
            <w:r>
              <w:rPr>
                <w:rFonts w:ascii="Calibri" w:hAnsi="Calibri"/>
                <w:b w:val="0"/>
                <w:color w:val="333537"/>
                <w:sz w:val="13"/>
              </w:rPr>
              <w:t>DEC-173 — Protected cutover-readiness journal port and detached default-deny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docs/decisions/DEC-173-protected-cutover-readiness-journal-port.md</w:t>
            </w:r>
          </w:p>
        </w:tc>
      </w:tr>
      <w:tr>
        <w:tc>
          <w:tcPr>
            <w:tcW w:type="dxa" w:w="850"/>
            <w:vAlign w:val="center"/>
          </w:tcPr>
          <w:p>
            <w:pPr>
              <w:spacing w:after="0"/>
            </w:pPr>
            <w:r/>
            <w:r>
              <w:rPr>
                <w:rFonts w:ascii="Calibri" w:hAnsi="Calibri"/>
                <w:b w:val="0"/>
                <w:color w:val="333537"/>
                <w:sz w:val="13"/>
              </w:rPr>
              <w:t>DEC-174</w:t>
            </w:r>
          </w:p>
        </w:tc>
        <w:tc>
          <w:tcPr>
            <w:tcW w:type="dxa" w:w="4140"/>
            <w:vAlign w:val="center"/>
          </w:tcPr>
          <w:p>
            <w:pPr>
              <w:spacing w:after="0"/>
            </w:pPr>
            <w:r/>
            <w:r>
              <w:rPr>
                <w:rFonts w:ascii="Calibri" w:hAnsi="Calibri"/>
                <w:b w:val="0"/>
                <w:color w:val="333537"/>
                <w:sz w:val="13"/>
              </w:rPr>
              <w:t>DEC-174 — Signed cutover-readiness evidence verifier public-key-only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docs/decisions/DEC-174-signed-cutover-readiness-evidence-verifier-boundary.md</w:t>
            </w:r>
          </w:p>
        </w:tc>
      </w:tr>
      <w:tr>
        <w:tc>
          <w:tcPr>
            <w:tcW w:type="dxa" w:w="850"/>
            <w:vAlign w:val="center"/>
          </w:tcPr>
          <w:p>
            <w:pPr>
              <w:spacing w:after="0"/>
            </w:pPr>
            <w:r/>
            <w:r>
              <w:rPr>
                <w:rFonts w:ascii="Calibri" w:hAnsi="Calibri"/>
                <w:b w:val="0"/>
                <w:color w:val="333537"/>
                <w:sz w:val="13"/>
              </w:rPr>
              <w:t>DEC-175</w:t>
            </w:r>
          </w:p>
        </w:tc>
        <w:tc>
          <w:tcPr>
            <w:tcW w:type="dxa" w:w="4140"/>
            <w:vAlign w:val="center"/>
          </w:tcPr>
          <w:p>
            <w:pPr>
              <w:spacing w:after="0"/>
            </w:pPr>
            <w:r/>
            <w:r>
              <w:rPr>
                <w:rFonts w:ascii="Calibri" w:hAnsi="Calibri"/>
                <w:b w:val="0"/>
                <w:color w:val="333537"/>
                <w:sz w:val="13"/>
              </w:rPr>
              <w:t>DEC-175 — Synthetic single-writer proof harness detached non-authoritative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docs/decisions/DEC-175-synthetic-single-writer-proof-harness-boundary.md</w:t>
            </w:r>
          </w:p>
        </w:tc>
      </w:tr>
      <w:tr>
        <w:tc>
          <w:tcPr>
            <w:tcW w:type="dxa" w:w="850"/>
            <w:vAlign w:val="center"/>
          </w:tcPr>
          <w:p>
            <w:pPr>
              <w:spacing w:after="0"/>
            </w:pPr>
            <w:r/>
            <w:r>
              <w:rPr>
                <w:rFonts w:ascii="Calibri" w:hAnsi="Calibri"/>
                <w:b w:val="0"/>
                <w:color w:val="333537"/>
                <w:sz w:val="13"/>
              </w:rPr>
              <w:t>DEC-176</w:t>
            </w:r>
          </w:p>
        </w:tc>
        <w:tc>
          <w:tcPr>
            <w:tcW w:type="dxa" w:w="4140"/>
            <w:vAlign w:val="center"/>
          </w:tcPr>
          <w:p>
            <w:pPr>
              <w:spacing w:after="0"/>
            </w:pPr>
            <w:r/>
            <w:r>
              <w:rPr>
                <w:rFonts w:ascii="Calibri" w:hAnsi="Calibri"/>
                <w:b w:val="0"/>
                <w:color w:val="333537"/>
                <w:sz w:val="13"/>
              </w:rPr>
              <w:t>DEC-176 — Synthetic key lifecycle proof harness detached non-submittable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docs/decisions/DEC-176-synthetic-key-lifecycle-proof-harness-boundary.md</w:t>
            </w:r>
          </w:p>
        </w:tc>
      </w:tr>
      <w:tr>
        <w:tc>
          <w:tcPr>
            <w:tcW w:type="dxa" w:w="850"/>
            <w:vAlign w:val="center"/>
          </w:tcPr>
          <w:p>
            <w:pPr>
              <w:spacing w:after="0"/>
            </w:pPr>
            <w:r/>
            <w:r>
              <w:rPr>
                <w:rFonts w:ascii="Calibri" w:hAnsi="Calibri"/>
                <w:b w:val="0"/>
                <w:color w:val="333537"/>
                <w:sz w:val="13"/>
              </w:rPr>
              <w:t>DEC-177</w:t>
            </w:r>
          </w:p>
        </w:tc>
        <w:tc>
          <w:tcPr>
            <w:tcW w:type="dxa" w:w="4140"/>
            <w:vAlign w:val="center"/>
          </w:tcPr>
          <w:p>
            <w:pPr>
              <w:spacing w:after="0"/>
            </w:pPr>
            <w:r/>
            <w:r>
              <w:rPr>
                <w:rFonts w:ascii="Calibri" w:hAnsi="Calibri"/>
                <w:b w:val="0"/>
                <w:color w:val="333537"/>
                <w:sz w:val="13"/>
              </w:rPr>
              <w:t>DEC-177 — Synthetic rollback and recovery drill detached non-submittable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docs/decisions/DEC-177-synthetic-rollback-recovery-drill-boundary.md</w:t>
            </w:r>
          </w:p>
        </w:tc>
      </w:tr>
      <w:tr>
        <w:tc>
          <w:tcPr>
            <w:tcW w:type="dxa" w:w="850"/>
            <w:vAlign w:val="center"/>
          </w:tcPr>
          <w:p>
            <w:pPr>
              <w:spacing w:after="0"/>
            </w:pPr>
            <w:r/>
            <w:r>
              <w:rPr>
                <w:rFonts w:ascii="Calibri" w:hAnsi="Calibri"/>
                <w:b w:val="0"/>
                <w:color w:val="333537"/>
                <w:sz w:val="13"/>
              </w:rPr>
              <w:t>DEC-178</w:t>
            </w:r>
          </w:p>
        </w:tc>
        <w:tc>
          <w:tcPr>
            <w:tcW w:type="dxa" w:w="4140"/>
            <w:vAlign w:val="center"/>
          </w:tcPr>
          <w:p>
            <w:pPr>
              <w:spacing w:after="0"/>
            </w:pPr>
            <w:r/>
            <w:r>
              <w:rPr>
                <w:rFonts w:ascii="Calibri" w:hAnsi="Calibri"/>
                <w:b w:val="0"/>
                <w:color w:val="333537"/>
                <w:sz w:val="13"/>
              </w:rPr>
              <w:t>DEC-178 — End-to-end security evidence aggregator detached non-submittable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docs/decisions/DEC-178-end-to-end-security-evidence-aggregator-boundary.md</w:t>
            </w:r>
          </w:p>
        </w:tc>
      </w:tr>
      <w:tr>
        <w:tc>
          <w:tcPr>
            <w:tcW w:type="dxa" w:w="850"/>
            <w:vAlign w:val="center"/>
          </w:tcPr>
          <w:p>
            <w:pPr>
              <w:spacing w:after="0"/>
            </w:pPr>
            <w:r/>
            <w:r>
              <w:rPr>
                <w:rFonts w:ascii="Calibri" w:hAnsi="Calibri"/>
                <w:b w:val="0"/>
                <w:color w:val="333537"/>
                <w:sz w:val="13"/>
              </w:rPr>
              <w:t>DEC-179</w:t>
            </w:r>
          </w:p>
        </w:tc>
        <w:tc>
          <w:tcPr>
            <w:tcW w:type="dxa" w:w="4140"/>
            <w:vAlign w:val="center"/>
          </w:tcPr>
          <w:p>
            <w:pPr>
              <w:spacing w:after="0"/>
            </w:pPr>
            <w:r/>
            <w:r>
              <w:rPr>
                <w:rFonts w:ascii="Calibri" w:hAnsi="Calibri"/>
                <w:b w:val="0"/>
                <w:color w:val="333537"/>
                <w:sz w:val="13"/>
              </w:rPr>
              <w:t>DEC-179 — Explicit user approval receipt detached no-cutover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docs/decisions/DEC-179-explicit-user-approval-receipt-boundary.md</w:t>
            </w:r>
          </w:p>
        </w:tc>
      </w:tr>
      <w:tr>
        <w:tc>
          <w:tcPr>
            <w:tcW w:type="dxa" w:w="850"/>
            <w:vAlign w:val="center"/>
          </w:tcPr>
          <w:p>
            <w:pPr>
              <w:spacing w:after="0"/>
            </w:pPr>
            <w:r/>
            <w:r>
              <w:rPr>
                <w:rFonts w:ascii="Calibri" w:hAnsi="Calibri"/>
                <w:b w:val="0"/>
                <w:color w:val="333537"/>
                <w:sz w:val="13"/>
              </w:rPr>
              <w:t>DEC-180</w:t>
            </w:r>
          </w:p>
        </w:tc>
        <w:tc>
          <w:tcPr>
            <w:tcW w:type="dxa" w:w="4140"/>
            <w:vAlign w:val="center"/>
          </w:tcPr>
          <w:p>
            <w:pPr>
              <w:spacing w:after="0"/>
            </w:pPr>
            <w:r/>
            <w:r>
              <w:rPr>
                <w:rFonts w:ascii="Calibri" w:hAnsi="Calibri"/>
                <w:b w:val="0"/>
                <w:color w:val="333537"/>
                <w:sz w:val="13"/>
              </w:rPr>
              <w:t>DEC-180 — Versioned cutover decision preflight detached no-authority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docs/decisions/DEC-180-versioned-cutover-decision-preflight-boundary.md</w:t>
            </w:r>
          </w:p>
        </w:tc>
      </w:tr>
      <w:tr>
        <w:tc>
          <w:tcPr>
            <w:tcW w:type="dxa" w:w="850"/>
            <w:vAlign w:val="center"/>
          </w:tcPr>
          <w:p>
            <w:pPr>
              <w:spacing w:after="0"/>
            </w:pPr>
            <w:r/>
            <w:r>
              <w:rPr>
                <w:rFonts w:ascii="Calibri" w:hAnsi="Calibri"/>
                <w:b w:val="0"/>
                <w:color w:val="333537"/>
                <w:sz w:val="13"/>
              </w:rPr>
              <w:t>DEC-181</w:t>
            </w:r>
          </w:p>
        </w:tc>
        <w:tc>
          <w:tcPr>
            <w:tcW w:type="dxa" w:w="4140"/>
            <w:vAlign w:val="center"/>
          </w:tcPr>
          <w:p>
            <w:pPr>
              <w:spacing w:after="0"/>
            </w:pPr>
            <w:r/>
            <w:r>
              <w:rPr>
                <w:rFonts w:ascii="Calibri" w:hAnsi="Calibri"/>
                <w:b w:val="0"/>
                <w:color w:val="333537"/>
                <w:sz w:val="13"/>
              </w:rPr>
              <w:t>DEC-181 — PPK-002 aile içe aktarma governed rollback makbuz çiti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docs/decisions/DEC-181-ppk-002-family-import-governed-rollback-receipt-fence.md</w:t>
            </w:r>
          </w:p>
        </w:tc>
      </w:tr>
      <w:tr>
        <w:tc>
          <w:tcPr>
            <w:tcW w:type="dxa" w:w="850"/>
            <w:vAlign w:val="center"/>
          </w:tcPr>
          <w:p>
            <w:pPr>
              <w:spacing w:after="0"/>
            </w:pPr>
            <w:r/>
            <w:r>
              <w:rPr>
                <w:rFonts w:ascii="Calibri" w:hAnsi="Calibri"/>
                <w:b w:val="0"/>
                <w:color w:val="333537"/>
                <w:sz w:val="13"/>
              </w:rPr>
              <w:t>DEC-182</w:t>
            </w:r>
          </w:p>
        </w:tc>
        <w:tc>
          <w:tcPr>
            <w:tcW w:type="dxa" w:w="4140"/>
            <w:vAlign w:val="center"/>
          </w:tcPr>
          <w:p>
            <w:pPr>
              <w:spacing w:after="0"/>
            </w:pPr>
            <w:r/>
            <w:r>
              <w:rPr>
                <w:rFonts w:ascii="Calibri" w:hAnsi="Calibri"/>
                <w:b w:val="0"/>
                <w:color w:val="333537"/>
                <w:sz w:val="13"/>
              </w:rPr>
              <w:t>DEC-182 — PPK-002 kalan teknik sınırları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docs/decisions/DEC-182-ppk-002-remaining-technical-boundaries.md</w:t>
            </w:r>
          </w:p>
        </w:tc>
      </w:tr>
      <w:tr>
        <w:tc>
          <w:tcPr>
            <w:tcW w:type="dxa" w:w="850"/>
            <w:vAlign w:val="center"/>
          </w:tcPr>
          <w:p>
            <w:pPr>
              <w:spacing w:after="0"/>
            </w:pPr>
            <w:r/>
            <w:r>
              <w:rPr>
                <w:rFonts w:ascii="Calibri" w:hAnsi="Calibri"/>
                <w:b w:val="0"/>
                <w:color w:val="333537"/>
                <w:sz w:val="13"/>
              </w:rPr>
              <w:t>DEC-183</w:t>
            </w:r>
          </w:p>
        </w:tc>
        <w:tc>
          <w:tcPr>
            <w:tcW w:type="dxa" w:w="4140"/>
            <w:vAlign w:val="center"/>
          </w:tcPr>
          <w:p>
            <w:pPr>
              <w:spacing w:after="0"/>
            </w:pPr>
            <w:r/>
            <w:r>
              <w:rPr>
                <w:rFonts w:ascii="Calibri" w:hAnsi="Calibri"/>
                <w:b w:val="0"/>
                <w:color w:val="333537"/>
                <w:sz w:val="13"/>
              </w:rPr>
              <w:t>DEC-183 — PPK-002 evrensel enforcement üst kapanışı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docs/decisions/DEC-183-ppk-002-universal-enforcement-top-closure.md</w:t>
            </w:r>
          </w:p>
        </w:tc>
      </w:tr>
      <w:tr>
        <w:tc>
          <w:tcPr>
            <w:tcW w:type="dxa" w:w="850"/>
            <w:vAlign w:val="center"/>
          </w:tcPr>
          <w:p>
            <w:pPr>
              <w:spacing w:after="0"/>
            </w:pPr>
            <w:r/>
            <w:r>
              <w:rPr>
                <w:rFonts w:ascii="Calibri" w:hAnsi="Calibri"/>
                <w:b w:val="0"/>
                <w:color w:val="333537"/>
                <w:sz w:val="13"/>
              </w:rPr>
              <w:t>DEC-184</w:t>
            </w:r>
          </w:p>
        </w:tc>
        <w:tc>
          <w:tcPr>
            <w:tcW w:type="dxa" w:w="4140"/>
            <w:vAlign w:val="center"/>
          </w:tcPr>
          <w:p>
            <w:pPr>
              <w:spacing w:after="0"/>
            </w:pPr>
            <w:r/>
            <w:r>
              <w:rPr>
                <w:rFonts w:ascii="Calibri" w:hAnsi="Calibri"/>
                <w:b w:val="0"/>
                <w:color w:val="333537"/>
                <w:sz w:val="13"/>
              </w:rPr>
              <w:t>DEC-184 — PPK-003 sınırlı süreli varsayılan-ret politika kararı erişilebilirliği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docs/decisions/DEC-184-ppk-003-bounded-default-deny-policy-decision-availability.md</w:t>
            </w:r>
          </w:p>
        </w:tc>
      </w:tr>
      <w:tr>
        <w:tc>
          <w:tcPr>
            <w:tcW w:type="dxa" w:w="850"/>
            <w:vAlign w:val="center"/>
          </w:tcPr>
          <w:p>
            <w:pPr>
              <w:spacing w:after="0"/>
            </w:pPr>
            <w:r/>
            <w:r>
              <w:rPr>
                <w:rFonts w:ascii="Calibri" w:hAnsi="Calibri"/>
                <w:b w:val="0"/>
                <w:color w:val="333537"/>
                <w:sz w:val="13"/>
              </w:rPr>
              <w:t>DEC-185</w:t>
            </w:r>
          </w:p>
        </w:tc>
        <w:tc>
          <w:tcPr>
            <w:tcW w:type="dxa" w:w="4140"/>
            <w:vAlign w:val="center"/>
          </w:tcPr>
          <w:p>
            <w:pPr>
              <w:spacing w:after="0"/>
            </w:pPr>
            <w:r/>
            <w:r>
              <w:rPr>
                <w:rFonts w:ascii="Calibri" w:hAnsi="Calibri"/>
                <w:b w:val="0"/>
                <w:color w:val="333537"/>
                <w:sz w:val="13"/>
              </w:rPr>
              <w:t>DEC-185 — PPK-004 tam politika bağlamı ve kriptografik işlem bağı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docs/decisions/DEC-185-ppk-004-complete-policy-context-binding.md</w:t>
            </w:r>
          </w:p>
        </w:tc>
      </w:tr>
      <w:tr>
        <w:tc>
          <w:tcPr>
            <w:tcW w:type="dxa" w:w="850"/>
            <w:vAlign w:val="center"/>
          </w:tcPr>
          <w:p>
            <w:pPr>
              <w:spacing w:after="0"/>
            </w:pPr>
            <w:r/>
            <w:r>
              <w:rPr>
                <w:rFonts w:ascii="Calibri" w:hAnsi="Calibri"/>
                <w:b w:val="0"/>
                <w:color w:val="333537"/>
                <w:sz w:val="13"/>
              </w:rPr>
              <w:t>DEC-186</w:t>
            </w:r>
          </w:p>
        </w:tc>
        <w:tc>
          <w:tcPr>
            <w:tcW w:type="dxa" w:w="4140"/>
            <w:vAlign w:val="center"/>
          </w:tcPr>
          <w:p>
            <w:pPr>
              <w:spacing w:after="0"/>
            </w:pPr>
            <w:r/>
            <w:r>
              <w:rPr>
                <w:rFonts w:ascii="Calibri" w:hAnsi="Calibri"/>
                <w:b w:val="0"/>
                <w:color w:val="333537"/>
                <w:sz w:val="13"/>
              </w:rPr>
              <w:t>DEC-186 — PPK-005 tam ve çoklu veri sınıflandırması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docs/decisions/DEC-186-ppk-005-complete-data-classification.md</w:t>
            </w:r>
          </w:p>
        </w:tc>
      </w:tr>
      <w:tr>
        <w:tc>
          <w:tcPr>
            <w:tcW w:type="dxa" w:w="850"/>
            <w:vAlign w:val="center"/>
          </w:tcPr>
          <w:p>
            <w:pPr>
              <w:spacing w:after="0"/>
            </w:pPr>
            <w:r/>
            <w:r>
              <w:rPr>
                <w:rFonts w:ascii="Calibri" w:hAnsi="Calibri"/>
                <w:b w:val="0"/>
                <w:color w:val="333537"/>
                <w:sz w:val="13"/>
              </w:rPr>
              <w:t>DEC-187</w:t>
            </w:r>
          </w:p>
        </w:tc>
        <w:tc>
          <w:tcPr>
            <w:tcW w:type="dxa" w:w="4140"/>
            <w:vAlign w:val="center"/>
          </w:tcPr>
          <w:p>
            <w:pPr>
              <w:spacing w:after="0"/>
            </w:pPr>
            <w:r/>
            <w:r>
              <w:rPr>
                <w:rFonts w:ascii="Calibri" w:hAnsi="Calibri"/>
                <w:b w:val="0"/>
                <w:color w:val="333537"/>
                <w:sz w:val="13"/>
              </w:rPr>
              <w:t>DEC-187 — PPK-006 tam politika yükümlülükleri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docs/decisions/DEC-187-ppk-006-complete-policy-obligation-suite.md</w:t>
            </w:r>
          </w:p>
        </w:tc>
      </w:tr>
      <w:tr>
        <w:tc>
          <w:tcPr>
            <w:tcW w:type="dxa" w:w="850"/>
            <w:vAlign w:val="center"/>
          </w:tcPr>
          <w:p>
            <w:pPr>
              <w:spacing w:after="0"/>
            </w:pPr>
            <w:r/>
            <w:r>
              <w:rPr>
                <w:rFonts w:ascii="Calibri" w:hAnsi="Calibri"/>
                <w:b w:val="0"/>
                <w:color w:val="333537"/>
                <w:sz w:val="13"/>
              </w:rPr>
              <w:t>DEC-188</w:t>
            </w:r>
          </w:p>
        </w:tc>
        <w:tc>
          <w:tcPr>
            <w:tcW w:type="dxa" w:w="4140"/>
            <w:vAlign w:val="center"/>
          </w:tcPr>
          <w:p>
            <w:pPr>
              <w:spacing w:after="0"/>
            </w:pPr>
            <w:r/>
            <w:r>
              <w:rPr>
                <w:rFonts w:ascii="Calibri" w:hAnsi="Calibri"/>
                <w:b w:val="0"/>
                <w:color w:val="333537"/>
                <w:sz w:val="13"/>
              </w:rPr>
              <w:t>DEC-188 — PPK-007 imzalı ve sürümlü politika paketi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docs/decisions/DEC-188-ppk-007-signed-versioned-policy-package.md</w:t>
            </w:r>
          </w:p>
        </w:tc>
      </w:tr>
      <w:tr>
        <w:tc>
          <w:tcPr>
            <w:tcW w:type="dxa" w:w="850"/>
            <w:vAlign w:val="center"/>
          </w:tcPr>
          <w:p>
            <w:pPr>
              <w:spacing w:after="0"/>
            </w:pPr>
            <w:r/>
            <w:r>
              <w:rPr>
                <w:rFonts w:ascii="Calibri" w:hAnsi="Calibri"/>
                <w:b w:val="0"/>
                <w:color w:val="333537"/>
                <w:sz w:val="13"/>
              </w:rPr>
              <w:t>DEC-189</w:t>
            </w:r>
          </w:p>
        </w:tc>
        <w:tc>
          <w:tcPr>
            <w:tcW w:type="dxa" w:w="4140"/>
            <w:vAlign w:val="center"/>
          </w:tcPr>
          <w:p>
            <w:pPr>
              <w:spacing w:after="0"/>
            </w:pPr>
            <w:r/>
            <w:r>
              <w:rPr>
                <w:rFonts w:ascii="Calibri" w:hAnsi="Calibri"/>
                <w:b w:val="0"/>
                <w:color w:val="333537"/>
                <w:sz w:val="13"/>
              </w:rPr>
              <w:t>DEC-189 — PPK-008 uygulama kimliği, cihaz sertifikası ve capability manifesti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docs/decisions/DEC-189-ppk-008-application-identity-device-certificate-manifest.md</w:t>
            </w:r>
          </w:p>
        </w:tc>
      </w:tr>
      <w:tr>
        <w:tc>
          <w:tcPr>
            <w:tcW w:type="dxa" w:w="850"/>
            <w:vAlign w:val="center"/>
          </w:tcPr>
          <w:p>
            <w:pPr>
              <w:spacing w:after="0"/>
            </w:pPr>
            <w:r/>
            <w:r>
              <w:rPr>
                <w:rFonts w:ascii="Calibri" w:hAnsi="Calibri"/>
                <w:b w:val="0"/>
                <w:color w:val="333537"/>
                <w:sz w:val="13"/>
              </w:rPr>
              <w:t>DEC-190</w:t>
            </w:r>
          </w:p>
        </w:tc>
        <w:tc>
          <w:tcPr>
            <w:tcW w:type="dxa" w:w="4140"/>
            <w:vAlign w:val="center"/>
          </w:tcPr>
          <w:p>
            <w:pPr>
              <w:spacing w:after="0"/>
            </w:pPr>
            <w:r/>
            <w:r>
              <w:rPr>
                <w:rFonts w:ascii="Calibri" w:hAnsi="Calibri"/>
                <w:b w:val="0"/>
                <w:color w:val="333537"/>
                <w:sz w:val="13"/>
              </w:rPr>
              <w:t>DEC-190 — PPK-009 Core Service politika yeniden değerlendirmesi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docs/decisions/DEC-190-ppk-009-core-service-policy-reevaluation.md</w:t>
            </w:r>
          </w:p>
        </w:tc>
      </w:tr>
      <w:tr>
        <w:tc>
          <w:tcPr>
            <w:tcW w:type="dxa" w:w="850"/>
            <w:vAlign w:val="center"/>
          </w:tcPr>
          <w:p>
            <w:pPr>
              <w:spacing w:after="0"/>
            </w:pPr>
            <w:r/>
            <w:r>
              <w:rPr>
                <w:rFonts w:ascii="Calibri" w:hAnsi="Calibri"/>
                <w:b w:val="0"/>
                <w:color w:val="333537"/>
                <w:sz w:val="13"/>
              </w:rPr>
              <w:t>DEC-191</w:t>
            </w:r>
          </w:p>
        </w:tc>
        <w:tc>
          <w:tcPr>
            <w:tcW w:type="dxa" w:w="4140"/>
            <w:vAlign w:val="center"/>
          </w:tcPr>
          <w:p>
            <w:pPr>
              <w:spacing w:after="0"/>
            </w:pPr>
            <w:r/>
            <w:r>
              <w:rPr>
                <w:rFonts w:ascii="Calibri" w:hAnsi="Calibri"/>
                <w:b w:val="0"/>
                <w:color w:val="333537"/>
                <w:sz w:val="13"/>
              </w:rPr>
              <w:t>DEC-191 — PPK-010 merkezi politika ve sıfır doğrudan-rol istisnası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docs/decisions/DEC-191-ppk-010-central-policy-zero-exception.md</w:t>
            </w:r>
          </w:p>
        </w:tc>
      </w:tr>
      <w:tr>
        <w:tc>
          <w:tcPr>
            <w:tcW w:type="dxa" w:w="850"/>
            <w:vAlign w:val="center"/>
          </w:tcPr>
          <w:p>
            <w:pPr>
              <w:spacing w:after="0"/>
            </w:pPr>
            <w:r/>
            <w:r>
              <w:rPr>
                <w:rFonts w:ascii="Calibri" w:hAnsi="Calibri"/>
                <w:b w:val="0"/>
                <w:color w:val="333537"/>
                <w:sz w:val="13"/>
              </w:rPr>
              <w:t>DEC-192</w:t>
            </w:r>
          </w:p>
        </w:tc>
        <w:tc>
          <w:tcPr>
            <w:tcW w:type="dxa" w:w="4140"/>
            <w:vAlign w:val="center"/>
          </w:tcPr>
          <w:p>
            <w:pPr>
              <w:spacing w:after="0"/>
            </w:pPr>
            <w:r/>
            <w:r>
              <w:rPr>
                <w:rFonts w:ascii="Calibri" w:hAnsi="Calibri"/>
                <w:b w:val="0"/>
                <w:color w:val="333537"/>
                <w:sz w:val="13"/>
              </w:rPr>
              <w:t>DEC-192 — PPK-011 bağlamsal yetki ve sahiplik oranı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docs/decisions/DEC-192-ppk-011-contextual-ownership-policy.md</w:t>
            </w:r>
          </w:p>
        </w:tc>
      </w:tr>
      <w:tr>
        <w:tc>
          <w:tcPr>
            <w:tcW w:type="dxa" w:w="850"/>
            <w:vAlign w:val="center"/>
          </w:tcPr>
          <w:p>
            <w:pPr>
              <w:spacing w:after="0"/>
            </w:pPr>
            <w:r/>
            <w:r>
              <w:rPr>
                <w:rFonts w:ascii="Calibri" w:hAnsi="Calibri"/>
                <w:b w:val="0"/>
                <w:color w:val="333537"/>
                <w:sz w:val="13"/>
              </w:rPr>
              <w:t>DEC-193</w:t>
            </w:r>
          </w:p>
        </w:tc>
        <w:tc>
          <w:tcPr>
            <w:tcW w:type="dxa" w:w="4140"/>
            <w:vAlign w:val="center"/>
          </w:tcPr>
          <w:p>
            <w:pPr>
              <w:spacing w:after="0"/>
            </w:pPr>
            <w:r/>
            <w:r>
              <w:rPr>
                <w:rFonts w:ascii="Calibri" w:hAnsi="Calibri"/>
                <w:b w:val="0"/>
                <w:color w:val="333537"/>
                <w:sz w:val="13"/>
              </w:rPr>
              <w:t>DEC-193 — PPK-012 sonlu çevrimdışı capability lease ve hassas cache kilidi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docs/decisions/DEC-193-ppk-012-offline-capability-lease-cache-fence.md</w:t>
            </w:r>
          </w:p>
        </w:tc>
      </w:tr>
      <w:tr>
        <w:tc>
          <w:tcPr>
            <w:tcW w:type="dxa" w:w="850"/>
            <w:vAlign w:val="center"/>
          </w:tcPr>
          <w:p>
            <w:pPr>
              <w:spacing w:after="0"/>
            </w:pPr>
            <w:r/>
            <w:r>
              <w:rPr>
                <w:rFonts w:ascii="Calibri" w:hAnsi="Calibri"/>
                <w:b w:val="0"/>
                <w:color w:val="333537"/>
                <w:sz w:val="13"/>
              </w:rPr>
              <w:t>DEC-194</w:t>
            </w:r>
          </w:p>
        </w:tc>
        <w:tc>
          <w:tcPr>
            <w:tcW w:type="dxa" w:w="4140"/>
            <w:vAlign w:val="center"/>
          </w:tcPr>
          <w:p>
            <w:pPr>
              <w:spacing w:after="0"/>
            </w:pPr>
            <w:r/>
            <w:r>
              <w:rPr>
                <w:rFonts w:ascii="Calibri" w:hAnsi="Calibri"/>
                <w:b w:val="0"/>
                <w:color w:val="333537"/>
                <w:sz w:val="13"/>
              </w:rPr>
              <w:t>DEC-194 — PPK-013 istemci veri erişim güvenlik çiti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docs/decisions/DEC-194-ppk-013-client-data-access-boundary.md</w:t>
            </w:r>
          </w:p>
        </w:tc>
      </w:tr>
      <w:tr>
        <w:tc>
          <w:tcPr>
            <w:tcW w:type="dxa" w:w="850"/>
            <w:vAlign w:val="center"/>
          </w:tcPr>
          <w:p>
            <w:pPr>
              <w:spacing w:after="0"/>
            </w:pPr>
            <w:r/>
            <w:r>
              <w:rPr>
                <w:rFonts w:ascii="Calibri" w:hAnsi="Calibri"/>
                <w:b w:val="0"/>
                <w:color w:val="333537"/>
                <w:sz w:val="13"/>
              </w:rPr>
              <w:t>DEC-195</w:t>
            </w:r>
          </w:p>
        </w:tc>
        <w:tc>
          <w:tcPr>
            <w:tcW w:type="dxa" w:w="4140"/>
            <w:vAlign w:val="center"/>
          </w:tcPr>
          <w:p>
            <w:pPr>
              <w:spacing w:after="0"/>
            </w:pPr>
            <w:r/>
            <w:r>
              <w:rPr>
                <w:rFonts w:ascii="Calibri" w:hAnsi="Calibri"/>
                <w:b w:val="0"/>
                <w:color w:val="333537"/>
                <w:sz w:val="13"/>
              </w:rPr>
              <w:t>DEC-195 — PPK-014 sürümlü Core Service API güvenlik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docs/decisions/DEC-195-ppk-014-versioned-core-service-api-boundary.md</w:t>
            </w:r>
          </w:p>
        </w:tc>
      </w:tr>
      <w:tr>
        <w:tc>
          <w:tcPr>
            <w:tcW w:type="dxa" w:w="850"/>
            <w:vAlign w:val="center"/>
          </w:tcPr>
          <w:p>
            <w:pPr>
              <w:spacing w:after="0"/>
            </w:pPr>
            <w:r/>
            <w:r>
              <w:rPr>
                <w:rFonts w:ascii="Calibri" w:hAnsi="Calibri"/>
                <w:b w:val="0"/>
                <w:color w:val="333537"/>
                <w:sz w:val="13"/>
              </w:rPr>
              <w:t>DEC-196</w:t>
            </w:r>
          </w:p>
        </w:tc>
        <w:tc>
          <w:tcPr>
            <w:tcW w:type="dxa" w:w="4140"/>
            <w:vAlign w:val="center"/>
          </w:tcPr>
          <w:p>
            <w:pPr>
              <w:spacing w:after="0"/>
            </w:pPr>
            <w:r/>
            <w:r>
              <w:rPr>
                <w:rFonts w:ascii="Calibri" w:hAnsi="Calibri"/>
                <w:b w:val="0"/>
                <w:color w:val="333537"/>
                <w:sz w:val="13"/>
              </w:rPr>
              <w:t>DEC-196 — PPK-015 allowlist ve TLS/mTLS ağ çıkış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docs/decisions/DEC-196-ppk-015-network-egress-policy.md</w:t>
            </w:r>
          </w:p>
        </w:tc>
      </w:tr>
      <w:tr>
        <w:tc>
          <w:tcPr>
            <w:tcW w:type="dxa" w:w="850"/>
            <w:vAlign w:val="center"/>
          </w:tcPr>
          <w:p>
            <w:pPr>
              <w:spacing w:after="0"/>
            </w:pPr>
            <w:r/>
            <w:r>
              <w:rPr>
                <w:rFonts w:ascii="Calibri" w:hAnsi="Calibri"/>
                <w:b w:val="0"/>
                <w:color w:val="333537"/>
                <w:sz w:val="13"/>
              </w:rPr>
              <w:t>DEC-197</w:t>
            </w:r>
          </w:p>
        </w:tc>
        <w:tc>
          <w:tcPr>
            <w:tcW w:type="dxa" w:w="4140"/>
            <w:vAlign w:val="center"/>
          </w:tcPr>
          <w:p>
            <w:pPr>
              <w:spacing w:after="0"/>
            </w:pPr>
            <w:r/>
            <w:r>
              <w:rPr>
                <w:rFonts w:ascii="Calibri" w:hAnsi="Calibri"/>
                <w:b w:val="0"/>
                <w:color w:val="333537"/>
                <w:sz w:val="13"/>
              </w:rPr>
              <w:t>DEC-197 — PPK-016 türetilmiş veri politika mirası</w:t>
            </w:r>
          </w:p>
        </w:tc>
        <w:tc>
          <w:tcPr>
            <w:tcW w:type="dxa" w:w="1500"/>
            <w:vAlign w:val="center"/>
          </w:tcPr>
          <w:p>
            <w:pPr>
              <w:spacing w:after="0"/>
            </w:pPr>
            <w:r/>
            <w:r>
              <w:rPr>
                <w:rFonts w:ascii="Calibri" w:hAnsi="Calibri"/>
                <w:b w:val="0"/>
                <w:color w:val="333537"/>
                <w:sz w:val="13"/>
              </w:rPr>
              <w:t>completed}`, `resultHash` ve işlem kimliği taşır. Retry, exact güncel kalıcı receipt kaydedildikten sonra yalnız content-free conflict metadata döndürür; semantik replay yasaktır.</w:t>
            </w:r>
          </w:p>
        </w:tc>
        <w:tc>
          <w:tcPr>
            <w:tcW w:type="dxa" w:w="2870"/>
            <w:vAlign w:val="center"/>
          </w:tcPr>
          <w:p>
            <w:pPr>
              <w:spacing w:after="0"/>
            </w:pPr>
            <w:r/>
            <w:r>
              <w:rPr>
                <w:rFonts w:ascii="Calibri" w:hAnsi="Calibri"/>
                <w:b w:val="0"/>
                <w:color w:val="333537"/>
                <w:sz w:val="13"/>
              </w:rPr>
              <w:t>docs/decisions/DEC-197-ppk-016-derived-data-policy-inheritance.md</w:t>
            </w:r>
          </w:p>
        </w:tc>
      </w:tr>
      <w:tr>
        <w:tc>
          <w:tcPr>
            <w:tcW w:type="dxa" w:w="850"/>
            <w:vAlign w:val="center"/>
          </w:tcPr>
          <w:p>
            <w:pPr>
              <w:spacing w:after="0"/>
            </w:pPr>
            <w:r/>
            <w:r>
              <w:rPr>
                <w:rFonts w:ascii="Calibri" w:hAnsi="Calibri"/>
                <w:b w:val="0"/>
                <w:color w:val="333537"/>
                <w:sz w:val="13"/>
              </w:rPr>
              <w:t>DEC-198</w:t>
            </w:r>
          </w:p>
        </w:tc>
        <w:tc>
          <w:tcPr>
            <w:tcW w:type="dxa" w:w="4140"/>
            <w:vAlign w:val="center"/>
          </w:tcPr>
          <w:p>
            <w:pPr>
              <w:spacing w:after="0"/>
            </w:pPr>
            <w:r/>
            <w:r>
              <w:rPr>
                <w:rFonts w:ascii="Calibri" w:hAnsi="Calibri"/>
                <w:b w:val="0"/>
                <w:color w:val="333537"/>
                <w:sz w:val="13"/>
              </w:rPr>
              <w:t>DEC-198 — PPK-017 hassas log ve content-free tanı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docs/decisions/DEC-198-ppk-017-sensitive-log-policy.md</w:t>
            </w:r>
          </w:p>
        </w:tc>
      </w:tr>
      <w:tr>
        <w:tc>
          <w:tcPr>
            <w:tcW w:type="dxa" w:w="850"/>
            <w:vAlign w:val="center"/>
          </w:tcPr>
          <w:p>
            <w:pPr>
              <w:spacing w:after="0"/>
            </w:pPr>
            <w:r/>
            <w:r>
              <w:rPr>
                <w:rFonts w:ascii="Calibri" w:hAnsi="Calibri"/>
                <w:b w:val="0"/>
                <w:color w:val="333537"/>
                <w:sz w:val="13"/>
              </w:rPr>
              <w:t>DEC-199</w:t>
            </w:r>
          </w:p>
        </w:tc>
        <w:tc>
          <w:tcPr>
            <w:tcW w:type="dxa" w:w="4140"/>
            <w:vAlign w:val="center"/>
          </w:tcPr>
          <w:p>
            <w:pPr>
              <w:spacing w:after="0"/>
            </w:pPr>
            <w:r/>
            <w:r>
              <w:rPr>
                <w:rFonts w:ascii="Calibri" w:hAnsi="Calibri"/>
                <w:b w:val="0"/>
                <w:color w:val="333537"/>
                <w:sz w:val="13"/>
              </w:rPr>
              <w:t>DEC-199 — PPK-018 değişmez policy karar audit zinciri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docs/decisions/DEC-199-ppk-018-immutable-policy-decision-audit.md</w:t>
            </w:r>
          </w:p>
        </w:tc>
      </w:tr>
      <w:tr>
        <w:tc>
          <w:tcPr>
            <w:tcW w:type="dxa" w:w="850"/>
            <w:vAlign w:val="center"/>
          </w:tcPr>
          <w:p>
            <w:pPr>
              <w:spacing w:after="0"/>
            </w:pPr>
            <w:r/>
            <w:r>
              <w:rPr>
                <w:rFonts w:ascii="Calibri" w:hAnsi="Calibri"/>
                <w:b w:val="0"/>
                <w:color w:val="333537"/>
                <w:sz w:val="13"/>
              </w:rPr>
              <w:t>DEC-200</w:t>
            </w:r>
          </w:p>
        </w:tc>
        <w:tc>
          <w:tcPr>
            <w:tcW w:type="dxa" w:w="4140"/>
            <w:vAlign w:val="center"/>
          </w:tcPr>
          <w:p>
            <w:pPr>
              <w:spacing w:after="0"/>
            </w:pPr>
            <w:r/>
            <w:r>
              <w:rPr>
                <w:rFonts w:ascii="Calibri" w:hAnsi="Calibri"/>
                <w:b w:val="0"/>
                <w:color w:val="333537"/>
                <w:sz w:val="13"/>
              </w:rPr>
              <w:t>DEC-200 — PPK-019 kaynak silme ve retention yayılımı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docs/decisions/DEC-200-ppk-019-source-deletion-propagation.md</w:t>
            </w:r>
          </w:p>
        </w:tc>
      </w:tr>
      <w:tr>
        <w:tc>
          <w:tcPr>
            <w:tcW w:type="dxa" w:w="850"/>
            <w:vAlign w:val="center"/>
          </w:tcPr>
          <w:p>
            <w:pPr>
              <w:spacing w:after="0"/>
            </w:pPr>
            <w:r/>
            <w:r>
              <w:rPr>
                <w:rFonts w:ascii="Calibri" w:hAnsi="Calibri"/>
                <w:b w:val="0"/>
                <w:color w:val="333537"/>
                <w:sz w:val="13"/>
              </w:rPr>
              <w:t>DEC-201</w:t>
            </w:r>
          </w:p>
        </w:tc>
        <w:tc>
          <w:tcPr>
            <w:tcW w:type="dxa" w:w="4140"/>
            <w:vAlign w:val="center"/>
          </w:tcPr>
          <w:p>
            <w:pPr>
              <w:spacing w:after="0"/>
            </w:pPr>
            <w:r/>
            <w:r>
              <w:rPr>
                <w:rFonts w:ascii="Calibri" w:hAnsi="Calibri"/>
                <w:b w:val="0"/>
                <w:color w:val="333537"/>
                <w:sz w:val="13"/>
              </w:rPr>
              <w:t>DEC-201 — PPK-020 çok platformlu ortak policy conformance suite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docs/decisions/DEC-201-ppk-020-cross-platform-policy-conformance-suite.md</w:t>
            </w:r>
          </w:p>
        </w:tc>
      </w:tr>
      <w:tr>
        <w:tc>
          <w:tcPr>
            <w:tcW w:type="dxa" w:w="850"/>
            <w:vAlign w:val="center"/>
          </w:tcPr>
          <w:p>
            <w:pPr>
              <w:spacing w:after="0"/>
            </w:pPr>
            <w:r/>
            <w:r>
              <w:rPr>
                <w:rFonts w:ascii="Calibri" w:hAnsi="Calibri"/>
                <w:b w:val="0"/>
                <w:color w:val="333537"/>
                <w:sz w:val="13"/>
              </w:rPr>
              <w:t>DEC-202</w:t>
            </w:r>
          </w:p>
        </w:tc>
        <w:tc>
          <w:tcPr>
            <w:tcW w:type="dxa" w:w="4140"/>
            <w:vAlign w:val="center"/>
          </w:tcPr>
          <w:p>
            <w:pPr>
              <w:spacing w:after="0"/>
            </w:pPr>
            <w:r/>
            <w:r>
              <w:rPr>
                <w:rFonts w:ascii="Calibri" w:hAnsi="Calibri"/>
                <w:b w:val="0"/>
                <w:color w:val="333537"/>
                <w:sz w:val="13"/>
              </w:rPr>
              <w:t>DEC-202 — PPK-021 AST tabanlı fail-closed Platform Policy build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docs/decisions/DEC-202-ppk-021-platform-policy-ast-fail-gate.md</w:t>
            </w:r>
          </w:p>
        </w:tc>
      </w:tr>
      <w:tr>
        <w:tc>
          <w:tcPr>
            <w:tcW w:type="dxa" w:w="850"/>
            <w:vAlign w:val="center"/>
          </w:tcPr>
          <w:p>
            <w:pPr>
              <w:spacing w:after="0"/>
            </w:pPr>
            <w:r/>
            <w:r>
              <w:rPr>
                <w:rFonts w:ascii="Calibri" w:hAnsi="Calibri"/>
                <w:b w:val="0"/>
                <w:color w:val="333537"/>
                <w:sz w:val="13"/>
              </w:rPr>
              <w:t>DEC-203</w:t>
            </w:r>
          </w:p>
        </w:tc>
        <w:tc>
          <w:tcPr>
            <w:tcW w:type="dxa" w:w="4140"/>
            <w:vAlign w:val="center"/>
          </w:tcPr>
          <w:p>
            <w:pPr>
              <w:spacing w:after="0"/>
            </w:pPr>
            <w:r/>
            <w:r>
              <w:rPr>
                <w:rFonts w:ascii="Calibri" w:hAnsi="Calibri"/>
                <w:b w:val="0"/>
                <w:color w:val="333537"/>
                <w:sz w:val="13"/>
              </w:rPr>
              <w:t>DEC-203 — PPK-022 imzalı capability manifest build/runtime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docs/decisions/DEC-203-ppk-022-capability-manifest-build-runtime-gate.md</w:t>
            </w:r>
          </w:p>
        </w:tc>
      </w:tr>
      <w:tr>
        <w:tc>
          <w:tcPr>
            <w:tcW w:type="dxa" w:w="850"/>
            <w:vAlign w:val="center"/>
          </w:tcPr>
          <w:p>
            <w:pPr>
              <w:spacing w:after="0"/>
            </w:pPr>
            <w:r/>
            <w:r>
              <w:rPr>
                <w:rFonts w:ascii="Calibri" w:hAnsi="Calibri"/>
                <w:b w:val="0"/>
                <w:color w:val="333537"/>
                <w:sz w:val="13"/>
              </w:rPr>
              <w:t>DEC-204</w:t>
            </w:r>
          </w:p>
        </w:tc>
        <w:tc>
          <w:tcPr>
            <w:tcW w:type="dxa" w:w="4140"/>
            <w:vAlign w:val="center"/>
          </w:tcPr>
          <w:p>
            <w:pPr>
              <w:spacing w:after="0"/>
            </w:pPr>
            <w:r/>
            <w:r>
              <w:rPr>
                <w:rFonts w:ascii="Calibri" w:hAnsi="Calibri"/>
                <w:b w:val="0"/>
                <w:color w:val="333537"/>
                <w:sz w:val="13"/>
              </w:rPr>
              <w:t>DEC-204 — PPK-023 uygulama güvenlik profili build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docs/decisions/DEC-204-ppk-023-application-security-profile-gate.md</w:t>
            </w:r>
          </w:p>
        </w:tc>
      </w:tr>
      <w:tr>
        <w:tc>
          <w:tcPr>
            <w:tcW w:type="dxa" w:w="850"/>
            <w:vAlign w:val="center"/>
          </w:tcPr>
          <w:p>
            <w:pPr>
              <w:spacing w:after="0"/>
            </w:pPr>
            <w:r/>
            <w:r>
              <w:rPr>
                <w:rFonts w:ascii="Calibri" w:hAnsi="Calibri"/>
                <w:b w:val="0"/>
                <w:color w:val="333537"/>
                <w:sz w:val="13"/>
              </w:rPr>
              <w:t>DEC-205</w:t>
            </w:r>
          </w:p>
        </w:tc>
        <w:tc>
          <w:tcPr>
            <w:tcW w:type="dxa" w:w="4140"/>
            <w:vAlign w:val="center"/>
          </w:tcPr>
          <w:p>
            <w:pPr>
              <w:spacing w:after="0"/>
            </w:pPr>
            <w:r/>
            <w:r>
              <w:rPr>
                <w:rFonts w:ascii="Calibri" w:hAnsi="Calibri"/>
                <w:b w:val="0"/>
                <w:color w:val="333537"/>
                <w:sz w:val="13"/>
              </w:rPr>
              <w:t>DEC-205 — PPK-024 canlı Policy Service availability runtime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docs/decisions/DEC-205-ppk-024-policy-service-availability-runtime-gate.md</w:t>
            </w:r>
          </w:p>
        </w:tc>
      </w:tr>
      <w:tr>
        <w:tc>
          <w:tcPr>
            <w:tcW w:type="dxa" w:w="850"/>
            <w:vAlign w:val="center"/>
          </w:tcPr>
          <w:p>
            <w:pPr>
              <w:spacing w:after="0"/>
            </w:pPr>
            <w:r/>
            <w:r>
              <w:rPr>
                <w:rFonts w:ascii="Calibri" w:hAnsi="Calibri"/>
                <w:b w:val="0"/>
                <w:color w:val="333537"/>
                <w:sz w:val="13"/>
              </w:rPr>
              <w:t>DEC-206</w:t>
            </w:r>
          </w:p>
        </w:tc>
        <w:tc>
          <w:tcPr>
            <w:tcW w:type="dxa" w:w="4140"/>
            <w:vAlign w:val="center"/>
          </w:tcPr>
          <w:p>
            <w:pPr>
              <w:spacing w:after="0"/>
            </w:pPr>
            <w:r/>
            <w:r>
              <w:rPr>
                <w:rFonts w:ascii="Calibri" w:hAnsi="Calibri"/>
                <w:b w:val="0"/>
                <w:color w:val="333537"/>
                <w:sz w:val="13"/>
              </w:rPr>
              <w:t>DEC-206 — PPK-025 fail-closed yazılım tedarik zinciri kapıları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docs/decisions/DEC-206-ppk-025-software-supply-chain-gates.md</w:t>
            </w:r>
          </w:p>
        </w:tc>
      </w:tr>
      <w:tr>
        <w:tc>
          <w:tcPr>
            <w:tcW w:type="dxa" w:w="850"/>
            <w:vAlign w:val="center"/>
          </w:tcPr>
          <w:p>
            <w:pPr>
              <w:spacing w:after="0"/>
            </w:pPr>
            <w:r/>
            <w:r>
              <w:rPr>
                <w:rFonts w:ascii="Calibri" w:hAnsi="Calibri"/>
                <w:b w:val="0"/>
                <w:color w:val="333537"/>
                <w:sz w:val="13"/>
              </w:rPr>
              <w:t>DEC-207</w:t>
            </w:r>
          </w:p>
        </w:tc>
        <w:tc>
          <w:tcPr>
            <w:tcW w:type="dxa" w:w="4140"/>
            <w:vAlign w:val="center"/>
          </w:tcPr>
          <w:p>
            <w:pPr>
              <w:spacing w:after="0"/>
            </w:pPr>
            <w:r/>
            <w:r>
              <w:rPr>
                <w:rFonts w:ascii="Calibri" w:hAnsi="Calibri"/>
                <w:b w:val="0"/>
                <w:color w:val="333537"/>
                <w:sz w:val="13"/>
              </w:rPr>
              <w:t>DEC-207 — PPK-026 typed policy SDK ve XPF-003 ortak finans/sağlık policy yolu</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docs/decisions/DEC-207-ppk-026-typed-policy-sdk-and-xpf003.md</w:t>
            </w:r>
          </w:p>
        </w:tc>
      </w:tr>
      <w:tr>
        <w:tc>
          <w:tcPr>
            <w:tcW w:type="dxa" w:w="850"/>
            <w:vAlign w:val="center"/>
          </w:tcPr>
          <w:p>
            <w:pPr>
              <w:spacing w:after="0"/>
            </w:pPr>
            <w:r/>
            <w:r>
              <w:rPr>
                <w:rFonts w:ascii="Calibri" w:hAnsi="Calibri"/>
                <w:b w:val="0"/>
                <w:color w:val="333537"/>
                <w:sz w:val="13"/>
              </w:rPr>
              <w:t>DEC-208</w:t>
            </w:r>
          </w:p>
        </w:tc>
        <w:tc>
          <w:tcPr>
            <w:tcW w:type="dxa" w:w="4140"/>
            <w:vAlign w:val="center"/>
          </w:tcPr>
          <w:p>
            <w:pPr>
              <w:spacing w:after="0"/>
            </w:pPr>
            <w:r/>
            <w:r>
              <w:rPr>
                <w:rFonts w:ascii="Calibri" w:hAnsi="Calibri"/>
                <w:b w:val="0"/>
                <w:color w:val="333537"/>
                <w:sz w:val="13"/>
              </w:rPr>
              <w:t>DEC-208 — B0-03/B0-04 ürün yüzeyi ve Feature Reality Gate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docs/decisions/DEC-208-b0-03-b0-04-product-surface-governance.md</w:t>
            </w:r>
          </w:p>
        </w:tc>
      </w:tr>
      <w:tr>
        <w:tc>
          <w:tcPr>
            <w:tcW w:type="dxa" w:w="850"/>
            <w:vAlign w:val="center"/>
          </w:tcPr>
          <w:p>
            <w:pPr>
              <w:spacing w:after="0"/>
            </w:pPr>
            <w:r/>
            <w:r>
              <w:rPr>
                <w:rFonts w:ascii="Calibri" w:hAnsi="Calibri"/>
                <w:b w:val="0"/>
                <w:color w:val="333537"/>
                <w:sz w:val="13"/>
              </w:rPr>
              <w:t>DEC-209</w:t>
            </w:r>
          </w:p>
        </w:tc>
        <w:tc>
          <w:tcPr>
            <w:tcW w:type="dxa" w:w="4140"/>
            <w:vAlign w:val="center"/>
          </w:tcPr>
          <w:p>
            <w:pPr>
              <w:spacing w:after="0"/>
            </w:pPr>
            <w:r/>
            <w:r>
              <w:rPr>
                <w:rFonts w:ascii="Calibri" w:hAnsi="Calibri"/>
                <w:b w:val="0"/>
                <w:color w:val="333537"/>
                <w:sz w:val="13"/>
              </w:rPr>
              <w:t>DEC-209 — B2-03/B2-04 masaüstü oturum ve Electron güvenliği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docs/decisions/DEC-209-b2-03-b2-04-desktop-session-electron-security.md</w:t>
            </w:r>
          </w:p>
        </w:tc>
      </w:tr>
      <w:tr>
        <w:tc>
          <w:tcPr>
            <w:tcW w:type="dxa" w:w="850"/>
            <w:vAlign w:val="center"/>
          </w:tcPr>
          <w:p>
            <w:pPr>
              <w:spacing w:after="0"/>
            </w:pPr>
            <w:r/>
            <w:r>
              <w:rPr>
                <w:rFonts w:ascii="Calibri" w:hAnsi="Calibri"/>
                <w:b w:val="0"/>
                <w:color w:val="333537"/>
                <w:sz w:val="13"/>
              </w:rPr>
              <w:t>DEC-210</w:t>
            </w:r>
          </w:p>
        </w:tc>
        <w:tc>
          <w:tcPr>
            <w:tcW w:type="dxa" w:w="4140"/>
            <w:vAlign w:val="center"/>
          </w:tcPr>
          <w:p>
            <w:pPr>
              <w:spacing w:after="0"/>
            </w:pPr>
            <w:r/>
            <w:r>
              <w:rPr>
                <w:rFonts w:ascii="Calibri" w:hAnsi="Calibri"/>
                <w:b w:val="0"/>
                <w:color w:val="333537"/>
                <w:sz w:val="13"/>
              </w:rPr>
              <w:t>DEC-210 — B2-05/B6-03 hassas veri rızası ve dışa gönderim önizlemesi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docs/decisions/DEC-210-b2-05-b6-03-sensitive-data-consent-and-export-preview.md</w:t>
            </w:r>
          </w:p>
        </w:tc>
      </w:tr>
      <w:tr>
        <w:tc>
          <w:tcPr>
            <w:tcW w:type="dxa" w:w="850"/>
            <w:vAlign w:val="center"/>
          </w:tcPr>
          <w:p>
            <w:pPr>
              <w:spacing w:after="0"/>
            </w:pPr>
            <w:r/>
            <w:r>
              <w:rPr>
                <w:rFonts w:ascii="Calibri" w:hAnsi="Calibri"/>
                <w:b w:val="0"/>
                <w:color w:val="333537"/>
                <w:sz w:val="13"/>
              </w:rPr>
              <w:t>DEC-211</w:t>
            </w:r>
          </w:p>
        </w:tc>
        <w:tc>
          <w:tcPr>
            <w:tcW w:type="dxa" w:w="4140"/>
            <w:vAlign w:val="center"/>
          </w:tcPr>
          <w:p>
            <w:pPr>
              <w:spacing w:after="0"/>
            </w:pPr>
            <w:r/>
            <w:r>
              <w:rPr>
                <w:rFonts w:ascii="Calibri" w:hAnsi="Calibri"/>
                <w:b w:val="0"/>
                <w:color w:val="333537"/>
                <w:sz w:val="13"/>
              </w:rPr>
              <w:t>DEC-211 — B4 banka kurumu, hesap, IBAN doğrulama ve sır reddi temeli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docs/decisions/DEC-211-b4-banking-foundation.md</w:t>
            </w:r>
          </w:p>
        </w:tc>
      </w:tr>
      <w:tr>
        <w:tc>
          <w:tcPr>
            <w:tcW w:type="dxa" w:w="850"/>
            <w:vAlign w:val="center"/>
          </w:tcPr>
          <w:p>
            <w:pPr>
              <w:spacing w:after="0"/>
            </w:pPr>
            <w:r/>
            <w:r>
              <w:rPr>
                <w:rFonts w:ascii="Calibri" w:hAnsi="Calibri"/>
                <w:b w:val="0"/>
                <w:color w:val="333537"/>
                <w:sz w:val="13"/>
              </w:rPr>
              <w:t>DEC-212</w:t>
            </w:r>
          </w:p>
        </w:tc>
        <w:tc>
          <w:tcPr>
            <w:tcW w:type="dxa" w:w="4140"/>
            <w:vAlign w:val="center"/>
          </w:tcPr>
          <w:p>
            <w:pPr>
              <w:spacing w:after="0"/>
            </w:pPr>
            <w:r/>
            <w:r>
              <w:rPr>
                <w:rFonts w:ascii="Calibri" w:hAnsi="Calibri"/>
                <w:b w:val="0"/>
                <w:color w:val="333537"/>
                <w:sz w:val="13"/>
              </w:rPr>
              <w:t>DEC-212 — B4 kart ürünü ve takip otomasyonları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docs/decisions/DEC-212-b4-payment-card-management.md</w:t>
            </w:r>
          </w:p>
        </w:tc>
      </w:tr>
      <w:tr>
        <w:tc>
          <w:tcPr>
            <w:tcW w:type="dxa" w:w="850"/>
            <w:vAlign w:val="center"/>
          </w:tcPr>
          <w:p>
            <w:pPr>
              <w:spacing w:after="0"/>
            </w:pPr>
            <w:r/>
            <w:r>
              <w:rPr>
                <w:rFonts w:ascii="Calibri" w:hAnsi="Calibri"/>
                <w:b w:val="0"/>
                <w:color w:val="333537"/>
                <w:sz w:val="13"/>
              </w:rPr>
              <w:t>DEC-213</w:t>
            </w:r>
          </w:p>
        </w:tc>
        <w:tc>
          <w:tcPr>
            <w:tcW w:type="dxa" w:w="4140"/>
            <w:vAlign w:val="center"/>
          </w:tcPr>
          <w:p>
            <w:pPr>
              <w:spacing w:after="0"/>
            </w:pPr>
            <w:r/>
            <w:r>
              <w:rPr>
                <w:rFonts w:ascii="Calibri" w:hAnsi="Calibri"/>
                <w:b w:val="0"/>
                <w:color w:val="333537"/>
                <w:sz w:val="13"/>
              </w:rPr>
              <w:t>DEC-213 — B4 kredi ve ödeme geçmişi yönetimi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docs/decisions/DEC-213-b4-loan-management.md</w:t>
            </w:r>
          </w:p>
        </w:tc>
      </w:tr>
      <w:tr>
        <w:tc>
          <w:tcPr>
            <w:tcW w:type="dxa" w:w="850"/>
            <w:vAlign w:val="center"/>
          </w:tcPr>
          <w:p>
            <w:pPr>
              <w:spacing w:after="0"/>
            </w:pPr>
            <w:r/>
            <w:r>
              <w:rPr>
                <w:rFonts w:ascii="Calibri" w:hAnsi="Calibri"/>
                <w:b w:val="0"/>
                <w:color w:val="333537"/>
                <w:sz w:val="13"/>
              </w:rPr>
              <w:t>DEC-214</w:t>
            </w:r>
          </w:p>
        </w:tc>
        <w:tc>
          <w:tcPr>
            <w:tcW w:type="dxa" w:w="4140"/>
            <w:vAlign w:val="center"/>
          </w:tcPr>
          <w:p>
            <w:pPr>
              <w:spacing w:after="0"/>
            </w:pPr>
            <w:r/>
            <w:r>
              <w:rPr>
                <w:rFonts w:ascii="Calibri" w:hAnsi="Calibri"/>
                <w:b w:val="0"/>
                <w:color w:val="333537"/>
                <w:sz w:val="13"/>
              </w:rPr>
              <w:t>DEC-214 — B4 finans planlama, portföy ve analiz merkezi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docs/decisions/DEC-214-b4-finance-planning-portfolio-analytics.md</w:t>
            </w:r>
          </w:p>
        </w:tc>
      </w:tr>
      <w:tr>
        <w:tc>
          <w:tcPr>
            <w:tcW w:type="dxa" w:w="850"/>
            <w:vAlign w:val="center"/>
          </w:tcPr>
          <w:p>
            <w:pPr>
              <w:spacing w:after="0"/>
            </w:pPr>
            <w:r/>
            <w:r>
              <w:rPr>
                <w:rFonts w:ascii="Calibri" w:hAnsi="Calibri"/>
                <w:b w:val="0"/>
                <w:color w:val="333537"/>
                <w:sz w:val="13"/>
              </w:rPr>
              <w:t>DEC-215</w:t>
            </w:r>
          </w:p>
        </w:tc>
        <w:tc>
          <w:tcPr>
            <w:tcW w:type="dxa" w:w="4140"/>
            <w:vAlign w:val="center"/>
          </w:tcPr>
          <w:p>
            <w:pPr>
              <w:spacing w:after="0"/>
            </w:pPr>
            <w:r/>
            <w:r>
              <w:rPr>
                <w:rFonts w:ascii="Calibri" w:hAnsi="Calibri"/>
                <w:b w:val="0"/>
                <w:color w:val="333537"/>
                <w:sz w:val="13"/>
              </w:rPr>
              <w:t>DEC-215 — Kontrollü finans içe aktarma ve ağsız ÖHVPS sınırı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docs/decisions/DEC-215-b4-controlled-import-open-banking.md</w:t>
            </w:r>
          </w:p>
        </w:tc>
      </w:tr>
      <w:tr>
        <w:tc>
          <w:tcPr>
            <w:tcW w:type="dxa" w:w="850"/>
            <w:vAlign w:val="center"/>
          </w:tcPr>
          <w:p>
            <w:pPr>
              <w:spacing w:after="0"/>
            </w:pPr>
            <w:r/>
            <w:r>
              <w:rPr>
                <w:rFonts w:ascii="Calibri" w:hAnsi="Calibri"/>
                <w:b w:val="0"/>
                <w:color w:val="333537"/>
                <w:sz w:val="13"/>
              </w:rPr>
              <w:t>DEC-216</w:t>
            </w:r>
          </w:p>
        </w:tc>
        <w:tc>
          <w:tcPr>
            <w:tcW w:type="dxa" w:w="4140"/>
            <w:vAlign w:val="center"/>
          </w:tcPr>
          <w:p>
            <w:pPr>
              <w:spacing w:after="0"/>
            </w:pPr>
            <w:r/>
            <w:r>
              <w:rPr>
                <w:rFonts w:ascii="Calibri" w:hAnsi="Calibri"/>
                <w:b w:val="0"/>
                <w:color w:val="333537"/>
                <w:sz w:val="13"/>
              </w:rPr>
              <w:t>DEC-216 — Kategoriye özgü yaşam, ev ve araç defteri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docs/decisions/DEC-216-b5-category-life-home-vehicle.md</w:t>
            </w:r>
          </w:p>
        </w:tc>
      </w:tr>
      <w:tr>
        <w:tc>
          <w:tcPr>
            <w:tcW w:type="dxa" w:w="850"/>
            <w:vAlign w:val="center"/>
          </w:tcPr>
          <w:p>
            <w:pPr>
              <w:spacing w:after="0"/>
            </w:pPr>
            <w:r/>
            <w:r>
              <w:rPr>
                <w:rFonts w:ascii="Calibri" w:hAnsi="Calibri"/>
                <w:b w:val="0"/>
                <w:color w:val="333537"/>
                <w:sz w:val="13"/>
              </w:rPr>
              <w:t>DEC-217</w:t>
            </w:r>
          </w:p>
        </w:tc>
        <w:tc>
          <w:tcPr>
            <w:tcW w:type="dxa" w:w="4140"/>
            <w:vAlign w:val="center"/>
          </w:tcPr>
          <w:p>
            <w:pPr>
              <w:spacing w:after="0"/>
            </w:pPr>
            <w:r/>
            <w:r>
              <w:rPr>
                <w:rFonts w:ascii="Calibri" w:hAnsi="Calibri"/>
                <w:b w:val="0"/>
                <w:color w:val="333537"/>
                <w:sz w:val="13"/>
              </w:rPr>
              <w:t>DEC-217 — Ev envanteri, sayaç, tüketim, eşya, garanti ve servis defteri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docs/decisions/DEC-217-home-inventory-utility-belongings.md</w:t>
            </w:r>
          </w:p>
        </w:tc>
      </w:tr>
      <w:tr>
        <w:tc>
          <w:tcPr>
            <w:tcW w:type="dxa" w:w="850"/>
            <w:vAlign w:val="center"/>
          </w:tcPr>
          <w:p>
            <w:pPr>
              <w:spacing w:after="0"/>
            </w:pPr>
            <w:r/>
            <w:r>
              <w:rPr>
                <w:rFonts w:ascii="Calibri" w:hAnsi="Calibri"/>
                <w:b w:val="0"/>
                <w:color w:val="333537"/>
                <w:sz w:val="13"/>
              </w:rPr>
              <w:t>DEC-218</w:t>
            </w:r>
          </w:p>
        </w:tc>
        <w:tc>
          <w:tcPr>
            <w:tcW w:type="dxa" w:w="4140"/>
            <w:vAlign w:val="center"/>
          </w:tcPr>
          <w:p>
            <w:pPr>
              <w:spacing w:after="0"/>
            </w:pPr>
            <w:r/>
            <w:r>
              <w:rPr>
                <w:rFonts w:ascii="Calibri" w:hAnsi="Calibri"/>
                <w:b w:val="0"/>
                <w:color w:val="333537"/>
                <w:sz w:val="13"/>
              </w:rPr>
              <w:t>DEC-218 — Çevrimdışı aile acil durum planı ve kişi durumu</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docs/decisions/DEC-218-family-emergency-planning.md</w:t>
            </w:r>
          </w:p>
        </w:tc>
      </w:tr>
      <w:tr>
        <w:tc>
          <w:tcPr>
            <w:tcW w:type="dxa" w:w="850"/>
            <w:vAlign w:val="center"/>
          </w:tcPr>
          <w:p>
            <w:pPr>
              <w:spacing w:after="0"/>
            </w:pPr>
            <w:r/>
            <w:r>
              <w:rPr>
                <w:rFonts w:ascii="Calibri" w:hAnsi="Calibri"/>
                <w:b w:val="0"/>
                <w:color w:val="333537"/>
                <w:sz w:val="13"/>
              </w:rPr>
              <w:t>DEC-219</w:t>
            </w:r>
          </w:p>
        </w:tc>
        <w:tc>
          <w:tcPr>
            <w:tcW w:type="dxa" w:w="4140"/>
            <w:vAlign w:val="center"/>
          </w:tcPr>
          <w:p>
            <w:pPr>
              <w:spacing w:after="0"/>
            </w:pPr>
            <w:r/>
            <w:r>
              <w:rPr>
                <w:rFonts w:ascii="Calibri" w:hAnsi="Calibri"/>
                <w:b w:val="0"/>
                <w:color w:val="333537"/>
                <w:sz w:val="13"/>
              </w:rPr>
              <w:t>DEC-219 — Çevrimdışı 72 saat çantası ve afet tatbikatı defteri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docs/decisions/DEC-219-family-emergency-preparedness-kits-and-drills.md</w:t>
            </w:r>
          </w:p>
        </w:tc>
      </w:tr>
      <w:tr>
        <w:tc>
          <w:tcPr>
            <w:tcW w:type="dxa" w:w="850"/>
            <w:vAlign w:val="center"/>
          </w:tcPr>
          <w:p>
            <w:pPr>
              <w:spacing w:after="0"/>
            </w:pPr>
            <w:r/>
            <w:r>
              <w:rPr>
                <w:rFonts w:ascii="Calibri" w:hAnsi="Calibri"/>
                <w:b w:val="0"/>
                <w:color w:val="333537"/>
                <w:sz w:val="13"/>
              </w:rPr>
              <w:t>DEC-220</w:t>
            </w:r>
          </w:p>
        </w:tc>
        <w:tc>
          <w:tcPr>
            <w:tcW w:type="dxa" w:w="4140"/>
            <w:vAlign w:val="center"/>
          </w:tcPr>
          <w:p>
            <w:pPr>
              <w:spacing w:after="0"/>
            </w:pPr>
            <w:r/>
            <w:r>
              <w:rPr>
                <w:rFonts w:ascii="Calibri" w:hAnsi="Calibri"/>
                <w:b w:val="0"/>
                <w:color w:val="333537"/>
                <w:sz w:val="13"/>
              </w:rPr>
              <w:t>DEC-220 — Çevrimdışı özel acil sağlık/iletişim kartı ve yardım profili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docs/decisions/DEC-220-family-emergency-assistance-card.md</w:t>
            </w:r>
          </w:p>
        </w:tc>
      </w:tr>
      <w:tr>
        <w:tc>
          <w:tcPr>
            <w:tcW w:type="dxa" w:w="850"/>
            <w:vAlign w:val="center"/>
          </w:tcPr>
          <w:p>
            <w:pPr>
              <w:spacing w:after="0"/>
            </w:pPr>
            <w:r/>
            <w:r>
              <w:rPr>
                <w:rFonts w:ascii="Calibri" w:hAnsi="Calibri"/>
                <w:b w:val="0"/>
                <w:color w:val="333537"/>
                <w:sz w:val="13"/>
              </w:rPr>
              <w:t>DEC-221</w:t>
            </w:r>
          </w:p>
        </w:tc>
        <w:tc>
          <w:tcPr>
            <w:tcW w:type="dxa" w:w="4140"/>
            <w:vAlign w:val="center"/>
          </w:tcPr>
          <w:p>
            <w:pPr>
              <w:spacing w:after="0"/>
            </w:pPr>
            <w:r/>
            <w:r>
              <w:rPr>
                <w:rFonts w:ascii="Calibri" w:hAnsi="Calibri"/>
                <w:b w:val="0"/>
                <w:color w:val="333537"/>
                <w:sz w:val="13"/>
              </w:rPr>
              <w:t>DEC-221 — Governed offline emergency card portability</w:t>
            </w:r>
          </w:p>
        </w:tc>
        <w:tc>
          <w:tcPr>
            <w:tcW w:type="dxa" w:w="1500"/>
            <w:vAlign w:val="center"/>
          </w:tcPr>
          <w:p>
            <w:pPr>
              <w:spacing w:after="0"/>
            </w:pPr>
            <w:r/>
            <w:r>
              <w:rPr>
                <w:rFonts w:ascii="Calibri" w:hAnsi="Calibri"/>
                <w:b w:val="0"/>
                <w:color w:val="333537"/>
                <w:sz w:val="13"/>
              </w:rPr>
              <w:t>ACTIVE / IMPLEMENTED, FINAL LOCAL COUNTS PENDING</w:t>
            </w:r>
          </w:p>
        </w:tc>
        <w:tc>
          <w:tcPr>
            <w:tcW w:type="dxa" w:w="2870"/>
            <w:vAlign w:val="center"/>
          </w:tcPr>
          <w:p>
            <w:pPr>
              <w:spacing w:after="0"/>
            </w:pPr>
            <w:r/>
            <w:r>
              <w:rPr>
                <w:rFonts w:ascii="Calibri" w:hAnsi="Calibri"/>
                <w:b w:val="0"/>
                <w:color w:val="333537"/>
                <w:sz w:val="13"/>
              </w:rPr>
              <w:t>docs/decisions/DEC-221-family-emergency-card-portability.md</w:t>
            </w:r>
          </w:p>
        </w:tc>
      </w:tr>
      <w:tr>
        <w:tc>
          <w:tcPr>
            <w:tcW w:type="dxa" w:w="850"/>
            <w:vAlign w:val="center"/>
          </w:tcPr>
          <w:p>
            <w:pPr>
              <w:spacing w:after="0"/>
            </w:pPr>
            <w:r/>
            <w:r>
              <w:rPr>
                <w:rFonts w:ascii="Calibri" w:hAnsi="Calibri"/>
                <w:b w:val="0"/>
                <w:color w:val="333537"/>
                <w:sz w:val="13"/>
              </w:rPr>
              <w:t>DEC-222</w:t>
            </w:r>
          </w:p>
        </w:tc>
        <w:tc>
          <w:tcPr>
            <w:tcW w:type="dxa" w:w="4140"/>
            <w:vAlign w:val="center"/>
          </w:tcPr>
          <w:p>
            <w:pPr>
              <w:spacing w:after="0"/>
            </w:pPr>
            <w:r/>
            <w:r>
              <w:rPr>
                <w:rFonts w:ascii="Calibri" w:hAnsi="Calibri"/>
                <w:b w:val="0"/>
                <w:color w:val="333537"/>
                <w:sz w:val="13"/>
              </w:rPr>
              <w:t>DEC-222 — Gizlilik, süreli rıza ve kayıp cihaz kapatma merkezi</w:t>
            </w:r>
          </w:p>
        </w:tc>
        <w:tc>
          <w:tcPr>
            <w:tcW w:type="dxa" w:w="1500"/>
            <w:vAlign w:val="center"/>
          </w:tcPr>
          <w:p>
            <w:pPr>
              <w:spacing w:after="0"/>
            </w:pPr>
            <w:r/>
            <w:r>
              <w:rPr>
                <w:rFonts w:ascii="Calibri" w:hAnsi="Calibri"/>
                <w:b w:val="0"/>
                <w:color w:val="333537"/>
                <w:sz w:val="13"/>
              </w:rPr>
              <w:t>Aktif uygulama (33-K)</w:t>
            </w:r>
          </w:p>
        </w:tc>
        <w:tc>
          <w:tcPr>
            <w:tcW w:type="dxa" w:w="2870"/>
            <w:vAlign w:val="center"/>
          </w:tcPr>
          <w:p>
            <w:pPr>
              <w:spacing w:after="0"/>
            </w:pPr>
            <w:r/>
            <w:r>
              <w:rPr>
                <w:rFonts w:ascii="Calibri" w:hAnsi="Calibri"/>
                <w:b w:val="0"/>
                <w:color w:val="333537"/>
                <w:sz w:val="13"/>
              </w:rPr>
              <w:t>docs/decisions/DEC-222-privacy-consent-lost-device-control-center.md</w:t>
            </w:r>
          </w:p>
        </w:tc>
      </w:tr>
      <w:tr>
        <w:tc>
          <w:tcPr>
            <w:tcW w:type="dxa" w:w="850"/>
            <w:vAlign w:val="center"/>
          </w:tcPr>
          <w:p>
            <w:pPr>
              <w:spacing w:after="0"/>
            </w:pPr>
            <w:r/>
            <w:r>
              <w:rPr>
                <w:rFonts w:ascii="Calibri" w:hAnsi="Calibri"/>
                <w:b w:val="0"/>
                <w:color w:val="333537"/>
                <w:sz w:val="13"/>
              </w:rPr>
              <w:t>DEC-223</w:t>
            </w:r>
          </w:p>
        </w:tc>
        <w:tc>
          <w:tcPr>
            <w:tcW w:type="dxa" w:w="4140"/>
            <w:vAlign w:val="center"/>
          </w:tcPr>
          <w:p>
            <w:pPr>
              <w:spacing w:after="0"/>
            </w:pPr>
            <w:r/>
            <w:r>
              <w:rPr>
                <w:rFonts w:ascii="Calibri" w:hAnsi="Calibri"/>
                <w:b w:val="0"/>
                <w:color w:val="333537"/>
                <w:sz w:val="13"/>
              </w:rPr>
              <w:t>DEC-223 — Finans / Uzun Vadeli Portföy merkezi</w:t>
            </w:r>
          </w:p>
        </w:tc>
        <w:tc>
          <w:tcPr>
            <w:tcW w:type="dxa" w:w="1500"/>
            <w:vAlign w:val="center"/>
          </w:tcPr>
          <w:p>
            <w:pPr>
              <w:spacing w:after="0"/>
            </w:pPr>
            <w:r/>
            <w:r>
              <w:rPr>
                <w:rFonts w:ascii="Calibri" w:hAnsi="Calibri"/>
                <w:b w:val="0"/>
                <w:color w:val="333537"/>
                <w:sz w:val="13"/>
              </w:rPr>
              <w:t>Aktif uygulama (33-L)</w:t>
            </w:r>
          </w:p>
        </w:tc>
        <w:tc>
          <w:tcPr>
            <w:tcW w:type="dxa" w:w="2870"/>
            <w:vAlign w:val="center"/>
          </w:tcPr>
          <w:p>
            <w:pPr>
              <w:spacing w:after="0"/>
            </w:pPr>
            <w:r/>
            <w:r>
              <w:rPr>
                <w:rFonts w:ascii="Calibri" w:hAnsi="Calibri"/>
                <w:b w:val="0"/>
                <w:color w:val="333537"/>
                <w:sz w:val="13"/>
              </w:rPr>
              <w:t>docs/decisions/DEC-223-long-term-portfolio-center.md</w:t>
            </w:r>
          </w:p>
        </w:tc>
      </w:tr>
      <w:tr>
        <w:tc>
          <w:tcPr>
            <w:tcW w:type="dxa" w:w="850"/>
            <w:vAlign w:val="center"/>
          </w:tcPr>
          <w:p>
            <w:pPr>
              <w:spacing w:after="0"/>
            </w:pPr>
            <w:r/>
            <w:r>
              <w:rPr>
                <w:rFonts w:ascii="Calibri" w:hAnsi="Calibri"/>
                <w:b w:val="0"/>
                <w:color w:val="333537"/>
                <w:sz w:val="13"/>
              </w:rPr>
              <w:t>DEC-224</w:t>
            </w:r>
          </w:p>
        </w:tc>
        <w:tc>
          <w:tcPr>
            <w:tcW w:type="dxa" w:w="4140"/>
            <w:vAlign w:val="center"/>
          </w:tcPr>
          <w:p>
            <w:pPr>
              <w:spacing w:after="0"/>
            </w:pPr>
            <w:r/>
            <w:r>
              <w:rPr>
                <w:rFonts w:ascii="Calibri" w:hAnsi="Calibri"/>
                <w:b w:val="0"/>
                <w:color w:val="333537"/>
                <w:sz w:val="13"/>
              </w:rPr>
              <w:t>DEC-224 — Erişilebilirlik tercih merkezi</w:t>
            </w:r>
          </w:p>
        </w:tc>
        <w:tc>
          <w:tcPr>
            <w:tcW w:type="dxa" w:w="1500"/>
            <w:vAlign w:val="center"/>
          </w:tcPr>
          <w:p>
            <w:pPr>
              <w:spacing w:after="0"/>
            </w:pPr>
            <w:r/>
            <w:r>
              <w:rPr>
                <w:rFonts w:ascii="Calibri" w:hAnsi="Calibri"/>
                <w:b w:val="0"/>
                <w:color w:val="333537"/>
                <w:sz w:val="13"/>
              </w:rPr>
              <w:t>ACTIVE / IMPLEMENTATION IN PROGRESS</w:t>
            </w:r>
          </w:p>
        </w:tc>
        <w:tc>
          <w:tcPr>
            <w:tcW w:type="dxa" w:w="2870"/>
            <w:vAlign w:val="center"/>
          </w:tcPr>
          <w:p>
            <w:pPr>
              <w:spacing w:after="0"/>
            </w:pPr>
            <w:r/>
            <w:r>
              <w:rPr>
                <w:rFonts w:ascii="Calibri" w:hAnsi="Calibri"/>
                <w:b w:val="0"/>
                <w:color w:val="333537"/>
                <w:sz w:val="13"/>
              </w:rPr>
              <w:t>docs/decisions/DEC-224-accessibility-preference-center.md</w:t>
            </w:r>
          </w:p>
        </w:tc>
      </w:tr>
      <w:tr>
        <w:tc>
          <w:tcPr>
            <w:tcW w:type="dxa" w:w="850"/>
            <w:vAlign w:val="center"/>
          </w:tcPr>
          <w:p>
            <w:pPr>
              <w:spacing w:after="0"/>
            </w:pPr>
            <w:r/>
            <w:r>
              <w:rPr>
                <w:rFonts w:ascii="Calibri" w:hAnsi="Calibri"/>
                <w:b w:val="0"/>
                <w:color w:val="333537"/>
                <w:sz w:val="13"/>
              </w:rPr>
              <w:t>DEC-225</w:t>
            </w:r>
          </w:p>
        </w:tc>
        <w:tc>
          <w:tcPr>
            <w:tcW w:type="dxa" w:w="4140"/>
            <w:vAlign w:val="center"/>
          </w:tcPr>
          <w:p>
            <w:pPr>
              <w:spacing w:after="0"/>
            </w:pPr>
            <w:r/>
            <w:r>
              <w:rPr>
                <w:rFonts w:ascii="Calibri" w:hAnsi="Calibri"/>
                <w:b w:val="0"/>
                <w:color w:val="333537"/>
                <w:sz w:val="13"/>
              </w:rPr>
              <w:t>DEC-225 — Taslak, geri alma ve asenkron ekran durumu UX'i</w:t>
            </w:r>
          </w:p>
        </w:tc>
        <w:tc>
          <w:tcPr>
            <w:tcW w:type="dxa" w:w="1500"/>
            <w:vAlign w:val="center"/>
          </w:tcPr>
          <w:p>
            <w:pPr>
              <w:spacing w:after="0"/>
            </w:pPr>
            <w:r/>
            <w:r>
              <w:rPr>
                <w:rFonts w:ascii="Calibri" w:hAnsi="Calibri"/>
                <w:b w:val="0"/>
                <w:color w:val="333537"/>
                <w:sz w:val="13"/>
              </w:rPr>
              <w:t>COMPLETED</w:t>
            </w:r>
          </w:p>
        </w:tc>
        <w:tc>
          <w:tcPr>
            <w:tcW w:type="dxa" w:w="2870"/>
            <w:vAlign w:val="center"/>
          </w:tcPr>
          <w:p>
            <w:pPr>
              <w:spacing w:after="0"/>
            </w:pPr>
            <w:r/>
            <w:r>
              <w:rPr>
                <w:rFonts w:ascii="Calibri" w:hAnsi="Calibri"/>
                <w:b w:val="0"/>
                <w:color w:val="333537"/>
                <w:sz w:val="13"/>
              </w:rPr>
              <w:t>docs/decisions/DEC-225-draft-async-state-ux.md</w:t>
            </w:r>
          </w:p>
        </w:tc>
      </w:tr>
      <w:tr>
        <w:tc>
          <w:tcPr>
            <w:tcW w:type="dxa" w:w="850"/>
            <w:vAlign w:val="center"/>
          </w:tcPr>
          <w:p>
            <w:pPr>
              <w:spacing w:after="0"/>
            </w:pPr>
            <w:r/>
            <w:r>
              <w:rPr>
                <w:rFonts w:ascii="Calibri" w:hAnsi="Calibri"/>
                <w:b w:val="0"/>
                <w:color w:val="333537"/>
                <w:sz w:val="13"/>
              </w:rPr>
              <w:t>DEC-226</w:t>
            </w:r>
          </w:p>
        </w:tc>
        <w:tc>
          <w:tcPr>
            <w:tcW w:type="dxa" w:w="4140"/>
            <w:vAlign w:val="center"/>
          </w:tcPr>
          <w:p>
            <w:pPr>
              <w:spacing w:after="0"/>
            </w:pPr>
            <w:r/>
            <w:r>
              <w:rPr>
                <w:rFonts w:ascii="Calibri" w:hAnsi="Calibri"/>
                <w:b w:val="0"/>
                <w:color w:val="333537"/>
                <w:sz w:val="13"/>
              </w:rPr>
              <w:t>DEC-226 — Gizlilik, sahiplik, veri hakları ve olay kontrol merkezi</w:t>
            </w:r>
          </w:p>
        </w:tc>
        <w:tc>
          <w:tcPr>
            <w:tcW w:type="dxa" w:w="1500"/>
            <w:vAlign w:val="center"/>
          </w:tcPr>
          <w:p>
            <w:pPr>
              <w:spacing w:after="0"/>
            </w:pPr>
            <w:r/>
            <w:r>
              <w:rPr>
                <w:rFonts w:ascii="Calibri" w:hAnsi="Calibri"/>
                <w:b w:val="0"/>
                <w:color w:val="333537"/>
                <w:sz w:val="13"/>
              </w:rPr>
              <w:t>COMPLETED</w:t>
            </w:r>
          </w:p>
        </w:tc>
        <w:tc>
          <w:tcPr>
            <w:tcW w:type="dxa" w:w="2870"/>
            <w:vAlign w:val="center"/>
          </w:tcPr>
          <w:p>
            <w:pPr>
              <w:spacing w:after="0"/>
            </w:pPr>
            <w:r/>
            <w:r>
              <w:rPr>
                <w:rFonts w:ascii="Calibri" w:hAnsi="Calibri"/>
                <w:b w:val="0"/>
                <w:color w:val="333537"/>
                <w:sz w:val="13"/>
              </w:rPr>
              <w:t>docs/decisions/DEC-226-privacy-ownership-data-rights-incident-control.md</w:t>
            </w:r>
          </w:p>
        </w:tc>
      </w:tr>
      <w:tr>
        <w:tc>
          <w:tcPr>
            <w:tcW w:type="dxa" w:w="850"/>
            <w:vAlign w:val="center"/>
          </w:tcPr>
          <w:p>
            <w:pPr>
              <w:spacing w:after="0"/>
            </w:pPr>
            <w:r/>
            <w:r>
              <w:rPr>
                <w:rFonts w:ascii="Calibri" w:hAnsi="Calibri"/>
                <w:b w:val="0"/>
                <w:color w:val="333537"/>
                <w:sz w:val="13"/>
              </w:rPr>
              <w:t>DEC-227</w:t>
            </w:r>
          </w:p>
        </w:tc>
        <w:tc>
          <w:tcPr>
            <w:tcW w:type="dxa" w:w="4140"/>
            <w:vAlign w:val="center"/>
          </w:tcPr>
          <w:p>
            <w:pPr>
              <w:spacing w:after="0"/>
            </w:pPr>
            <w:r/>
            <w:r>
              <w:rPr>
                <w:rFonts w:ascii="Calibri" w:hAnsi="Calibri"/>
                <w:b w:val="0"/>
                <w:color w:val="333537"/>
                <w:sz w:val="13"/>
              </w:rPr>
              <w:t>DEC-227 — Passkey, federated kimlik ve doğrulanabilir geçici yetki belgeleri</w:t>
            </w:r>
          </w:p>
        </w:tc>
        <w:tc>
          <w:tcPr>
            <w:tcW w:type="dxa" w:w="1500"/>
            <w:vAlign w:val="center"/>
          </w:tcPr>
          <w:p>
            <w:pPr>
              <w:spacing w:after="0"/>
            </w:pPr>
            <w:r/>
            <w:r>
              <w:rPr>
                <w:rFonts w:ascii="Calibri" w:hAnsi="Calibri"/>
                <w:b w:val="0"/>
                <w:color w:val="333537"/>
                <w:sz w:val="13"/>
              </w:rPr>
              <w:t>IN_PROGRESS</w:t>
            </w:r>
          </w:p>
        </w:tc>
        <w:tc>
          <w:tcPr>
            <w:tcW w:type="dxa" w:w="2870"/>
            <w:vAlign w:val="center"/>
          </w:tcPr>
          <w:p>
            <w:pPr>
              <w:spacing w:after="0"/>
            </w:pPr>
            <w:r/>
            <w:r>
              <w:rPr>
                <w:rFonts w:ascii="Calibri" w:hAnsi="Calibri"/>
                <w:b w:val="0"/>
                <w:color w:val="333537"/>
                <w:sz w:val="13"/>
              </w:rPr>
              <w:t>docs/decisions/DEC-227-passkeys-federated-identity-verifiable-temporary-credentials.md</w:t>
            </w:r>
          </w:p>
        </w:tc>
      </w:tr>
      <w:tr>
        <w:tc>
          <w:tcPr>
            <w:tcW w:type="dxa" w:w="850"/>
            <w:vAlign w:val="center"/>
          </w:tcPr>
          <w:p>
            <w:pPr>
              <w:spacing w:after="0"/>
            </w:pPr>
            <w:r/>
            <w:r>
              <w:rPr>
                <w:rFonts w:ascii="Calibri" w:hAnsi="Calibri"/>
                <w:b w:val="0"/>
                <w:color w:val="333537"/>
                <w:sz w:val="13"/>
              </w:rPr>
              <w:t>DEC-228</w:t>
            </w:r>
          </w:p>
        </w:tc>
        <w:tc>
          <w:tcPr>
            <w:tcW w:type="dxa" w:w="4140"/>
            <w:vAlign w:val="center"/>
          </w:tcPr>
          <w:p>
            <w:pPr>
              <w:spacing w:after="0"/>
            </w:pPr>
            <w:r/>
            <w:r>
              <w:rPr>
                <w:rFonts w:ascii="Calibri" w:hAnsi="Calibri"/>
                <w:b w:val="0"/>
                <w:color w:val="333537"/>
                <w:sz w:val="13"/>
              </w:rPr>
              <w:t>DEC-228 — Yerel, yönetişimli OCR ve türetilmiş veri hattı</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docs/decisions/DEC-228-local-governed-ocr-derived-data-pipeline.md</w:t>
            </w:r>
          </w:p>
        </w:tc>
      </w:tr>
      <w:tr>
        <w:tc>
          <w:tcPr>
            <w:tcW w:type="dxa" w:w="850"/>
            <w:vAlign w:val="center"/>
          </w:tcPr>
          <w:p>
            <w:pPr>
              <w:spacing w:after="0"/>
            </w:pPr>
            <w:r/>
            <w:r>
              <w:rPr>
                <w:rFonts w:ascii="Calibri" w:hAnsi="Calibri"/>
                <w:b w:val="0"/>
                <w:color w:val="333537"/>
                <w:sz w:val="13"/>
              </w:rPr>
              <w:t>DEC-229</w:t>
            </w:r>
          </w:p>
        </w:tc>
        <w:tc>
          <w:tcPr>
            <w:tcW w:type="dxa" w:w="4140"/>
            <w:vAlign w:val="center"/>
          </w:tcPr>
          <w:p>
            <w:pPr>
              <w:spacing w:after="0"/>
            </w:pPr>
            <w:r/>
            <w:r>
              <w:rPr>
                <w:rFonts w:ascii="Calibri" w:hAnsi="Calibri"/>
                <w:b w:val="0"/>
                <w:color w:val="333537"/>
                <w:sz w:val="13"/>
              </w:rPr>
              <w:t>DEC-229 — Arşiv kanıt ilişkileri, medya yaşam döngüsü ve birleşik yetkili arama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docs/decisions/DEC-229-archive-evidence-relations-media-lifecycle-unified-authorized-search.md</w:t>
            </w:r>
          </w:p>
        </w:tc>
      </w:tr>
      <w:tr>
        <w:tc>
          <w:tcPr>
            <w:tcW w:type="dxa" w:w="850"/>
            <w:vAlign w:val="center"/>
          </w:tcPr>
          <w:p>
            <w:pPr>
              <w:spacing w:after="0"/>
            </w:pPr>
            <w:r/>
            <w:r>
              <w:rPr>
                <w:rFonts w:ascii="Calibri" w:hAnsi="Calibri"/>
                <w:b w:val="0"/>
                <w:color w:val="333537"/>
                <w:sz w:val="13"/>
              </w:rPr>
              <w:t>DEC-230</w:t>
            </w:r>
          </w:p>
        </w:tc>
        <w:tc>
          <w:tcPr>
            <w:tcW w:type="dxa" w:w="4140"/>
            <w:vAlign w:val="center"/>
          </w:tcPr>
          <w:p>
            <w:pPr>
              <w:spacing w:after="0"/>
            </w:pPr>
            <w:r/>
            <w:r>
              <w:rPr>
                <w:rFonts w:ascii="Calibri" w:hAnsi="Calibri"/>
                <w:b w:val="0"/>
                <w:color w:val="333537"/>
                <w:sz w:val="13"/>
              </w:rPr>
              <w:t>DEC-230 — Sağlık koordinasyonu ve yaşlı desteği günlüğü</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docs/decisions/DEC-230-health-care-coordination-elderly-support-ledger.md</w:t>
            </w:r>
          </w:p>
        </w:tc>
      </w:tr>
      <w:tr>
        <w:tc>
          <w:tcPr>
            <w:tcW w:type="dxa" w:w="850"/>
            <w:vAlign w:val="center"/>
          </w:tcPr>
          <w:p>
            <w:pPr>
              <w:spacing w:after="0"/>
            </w:pPr>
            <w:r/>
            <w:r>
              <w:rPr>
                <w:rFonts w:ascii="Calibri" w:hAnsi="Calibri"/>
                <w:b w:val="0"/>
                <w:color w:val="333537"/>
                <w:sz w:val="13"/>
              </w:rPr>
              <w:t>DEC-231</w:t>
            </w:r>
          </w:p>
        </w:tc>
        <w:tc>
          <w:tcPr>
            <w:tcW w:type="dxa" w:w="4140"/>
            <w:vAlign w:val="center"/>
          </w:tcPr>
          <w:p>
            <w:pPr>
              <w:spacing w:after="0"/>
            </w:pPr>
            <w:r/>
            <w:r>
              <w:rPr>
                <w:rFonts w:ascii="Calibri" w:hAnsi="Calibri"/>
                <w:b w:val="0"/>
                <w:color w:val="333537"/>
                <w:sz w:val="13"/>
              </w:rPr>
              <w:t>DEC-231 — Hane operasyonları merkezi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docs/decisions/DEC-231-household-operations-center.md</w:t>
            </w:r>
          </w:p>
        </w:tc>
      </w:tr>
      <w:tr>
        <w:tc>
          <w:tcPr>
            <w:tcW w:type="dxa" w:w="850"/>
            <w:vAlign w:val="center"/>
          </w:tcPr>
          <w:p>
            <w:pPr>
              <w:spacing w:after="0"/>
            </w:pPr>
            <w:r/>
            <w:r>
              <w:rPr>
                <w:rFonts w:ascii="Calibri" w:hAnsi="Calibri"/>
                <w:b w:val="0"/>
                <w:color w:val="333537"/>
                <w:sz w:val="13"/>
              </w:rPr>
              <w:t>DEC-232</w:t>
            </w:r>
          </w:p>
        </w:tc>
        <w:tc>
          <w:tcPr>
            <w:tcW w:type="dxa" w:w="4140"/>
            <w:vAlign w:val="center"/>
          </w:tcPr>
          <w:p>
            <w:pPr>
              <w:spacing w:after="0"/>
            </w:pPr>
            <w:r/>
            <w:r>
              <w:rPr>
                <w:rFonts w:ascii="Calibri" w:hAnsi="Calibri"/>
                <w:b w:val="0"/>
                <w:color w:val="333537"/>
                <w:sz w:val="13"/>
              </w:rPr>
              <w:t>DEC-232 — Çocuk eğitim koordinasyonu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docs/decisions/DEC-232-child-education-coordination.md</w:t>
            </w:r>
          </w:p>
        </w:tc>
      </w:tr>
      <w:tr>
        <w:tc>
          <w:tcPr>
            <w:tcW w:type="dxa" w:w="850"/>
            <w:vAlign w:val="center"/>
          </w:tcPr>
          <w:p>
            <w:pPr>
              <w:spacing w:after="0"/>
            </w:pPr>
            <w:r/>
            <w:r>
              <w:rPr>
                <w:rFonts w:ascii="Calibri" w:hAnsi="Calibri"/>
                <w:b w:val="0"/>
                <w:color w:val="333537"/>
                <w:sz w:val="13"/>
              </w:rPr>
              <w:t>DEC-233</w:t>
            </w:r>
          </w:p>
        </w:tc>
        <w:tc>
          <w:tcPr>
            <w:tcW w:type="dxa" w:w="4140"/>
            <w:vAlign w:val="center"/>
          </w:tcPr>
          <w:p>
            <w:pPr>
              <w:spacing w:after="0"/>
            </w:pPr>
            <w:r/>
            <w:r>
              <w:rPr>
                <w:rFonts w:ascii="Calibri" w:hAnsi="Calibri"/>
                <w:b w:val="0"/>
                <w:color w:val="333537"/>
                <w:sz w:val="13"/>
              </w:rPr>
              <w:t>DEC-233 — Yer, seyahat, taşınma ve evcil hayvan iş akışları</w:t>
            </w:r>
          </w:p>
        </w:tc>
        <w:tc>
          <w:tcPr>
            <w:tcW w:type="dxa" w:w="1500"/>
            <w:vAlign w:val="center"/>
          </w:tcPr>
          <w:p>
            <w:pPr>
              <w:spacing w:after="0"/>
            </w:pPr>
            <w:r/>
            <w:r>
              <w:rPr>
                <w:rFonts w:ascii="Calibri" w:hAnsi="Calibri"/>
                <w:b w:val="0"/>
                <w:color w:val="333537"/>
                <w:sz w:val="13"/>
              </w:rPr>
              <w:t>`PLANNED / LOCAL_IMPLEMENTATION_STARTED`. Bu karar 33‑V’nin yerel bileşen modelini kaydeder; gereksinimleri kapatmaz ve `countsAsRequirementPass=false` kalır.</w:t>
            </w:r>
          </w:p>
        </w:tc>
        <w:tc>
          <w:tcPr>
            <w:tcW w:type="dxa" w:w="2870"/>
            <w:vAlign w:val="center"/>
          </w:tcPr>
          <w:p>
            <w:pPr>
              <w:spacing w:after="0"/>
            </w:pPr>
            <w:r/>
            <w:r>
              <w:rPr>
                <w:rFonts w:ascii="Calibri" w:hAnsi="Calibri"/>
                <w:b w:val="0"/>
                <w:color w:val="333537"/>
                <w:sz w:val="13"/>
              </w:rPr>
              <w:t>docs/decisions/DEC-233-places-travel-asset-pet.md</w:t>
            </w:r>
          </w:p>
        </w:tc>
      </w:tr>
      <w:tr>
        <w:tc>
          <w:tcPr>
            <w:tcW w:type="dxa" w:w="850"/>
            <w:vAlign w:val="center"/>
          </w:tcPr>
          <w:p>
            <w:pPr>
              <w:spacing w:after="0"/>
            </w:pPr>
            <w:r/>
            <w:r>
              <w:rPr>
                <w:rFonts w:ascii="Calibri" w:hAnsi="Calibri"/>
                <w:b w:val="0"/>
                <w:color w:val="333537"/>
                <w:sz w:val="13"/>
              </w:rPr>
              <w:t>DEC-234</w:t>
            </w:r>
          </w:p>
        </w:tc>
        <w:tc>
          <w:tcPr>
            <w:tcW w:type="dxa" w:w="4140"/>
            <w:vAlign w:val="center"/>
          </w:tcPr>
          <w:p>
            <w:pPr>
              <w:spacing w:after="0"/>
            </w:pPr>
            <w:r/>
            <w:r>
              <w:rPr>
                <w:rFonts w:ascii="Calibri" w:hAnsi="Calibri"/>
                <w:b w:val="0"/>
                <w:color w:val="333537"/>
                <w:sz w:val="13"/>
              </w:rPr>
              <w:t>DEC-234 — Onaya bağlı aile AI asistanı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docs/decisions/DEC-234-consent-bound-family-ai-assistant.md</w:t>
            </w:r>
          </w:p>
        </w:tc>
      </w:tr>
      <w:tr>
        <w:tc>
          <w:tcPr>
            <w:tcW w:type="dxa" w:w="850"/>
            <w:vAlign w:val="center"/>
          </w:tcPr>
          <w:p>
            <w:pPr>
              <w:spacing w:after="0"/>
            </w:pPr>
            <w:r/>
            <w:r>
              <w:rPr>
                <w:rFonts w:ascii="Calibri" w:hAnsi="Calibri"/>
                <w:b w:val="0"/>
                <w:color w:val="333537"/>
                <w:sz w:val="13"/>
              </w:rPr>
              <w:t>DEC-235</w:t>
            </w:r>
          </w:p>
        </w:tc>
        <w:tc>
          <w:tcPr>
            <w:tcW w:type="dxa" w:w="4140"/>
            <w:vAlign w:val="center"/>
          </w:tcPr>
          <w:p>
            <w:pPr>
              <w:spacing w:after="0"/>
            </w:pPr>
            <w:r/>
            <w:r>
              <w:rPr>
                <w:rFonts w:ascii="Calibri" w:hAnsi="Calibri"/>
                <w:b w:val="0"/>
                <w:color w:val="333537"/>
                <w:sz w:val="13"/>
              </w:rPr>
              <w:t>DEC-235 — Hafıza stüdyosu ve zaman kapsülü</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docs/decisions/DEC-235-memory-studio-time-capsule.md</w:t>
            </w:r>
          </w:p>
        </w:tc>
      </w:tr>
      <w:tr>
        <w:tc>
          <w:tcPr>
            <w:tcW w:type="dxa" w:w="850"/>
            <w:vAlign w:val="center"/>
          </w:tcPr>
          <w:p>
            <w:pPr>
              <w:spacing w:after="0"/>
            </w:pPr>
            <w:r/>
            <w:r>
              <w:rPr>
                <w:rFonts w:ascii="Calibri" w:hAnsi="Calibri"/>
                <w:b w:val="0"/>
                <w:color w:val="333537"/>
                <w:sz w:val="13"/>
              </w:rPr>
              <w:t>DEC-236</w:t>
            </w:r>
          </w:p>
        </w:tc>
        <w:tc>
          <w:tcPr>
            <w:tcW w:type="dxa" w:w="4140"/>
            <w:vAlign w:val="center"/>
          </w:tcPr>
          <w:p>
            <w:pPr>
              <w:spacing w:after="0"/>
            </w:pPr>
            <w:r/>
            <w:r>
              <w:rPr>
                <w:rFonts w:ascii="Calibri" w:hAnsi="Calibri"/>
                <w:b w:val="0"/>
                <w:color w:val="333537"/>
                <w:sz w:val="13"/>
              </w:rPr>
              <w:t>DEC-236 — Yerel-first akıllı ev ve enerji adapterleri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docs/decisions/DEC-236-local-first-smart-home-energy-adapters.md</w:t>
            </w:r>
          </w:p>
        </w:tc>
      </w:tr>
      <w:tr>
        <w:tc>
          <w:tcPr>
            <w:tcW w:type="dxa" w:w="850"/>
            <w:vAlign w:val="center"/>
          </w:tcPr>
          <w:p>
            <w:pPr>
              <w:spacing w:after="0"/>
            </w:pPr>
            <w:r/>
            <w:r>
              <w:rPr>
                <w:rFonts w:ascii="Calibri" w:hAnsi="Calibri"/>
                <w:b w:val="0"/>
                <w:color w:val="333537"/>
                <w:sz w:val="13"/>
              </w:rPr>
              <w:t>DEC-237</w:t>
            </w:r>
          </w:p>
        </w:tc>
        <w:tc>
          <w:tcPr>
            <w:tcW w:type="dxa" w:w="4140"/>
            <w:vAlign w:val="center"/>
          </w:tcPr>
          <w:p>
            <w:pPr>
              <w:spacing w:after="0"/>
            </w:pPr>
            <w:r/>
            <w:r>
              <w:rPr>
                <w:rFonts w:ascii="Calibri" w:hAnsi="Calibri"/>
                <w:b w:val="0"/>
                <w:color w:val="333537"/>
                <w:sz w:val="13"/>
              </w:rPr>
              <w:t>DEC-237 — İmzalı eklenti ve dış sağlayıcı aday platformu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docs/decisions/DEC-237-signed-plugin-external-provider-platform.md</w:t>
            </w:r>
          </w:p>
        </w:tc>
      </w:tr>
      <w:tr>
        <w:tc>
          <w:tcPr>
            <w:tcW w:type="dxa" w:w="850"/>
            <w:vAlign w:val="center"/>
          </w:tcPr>
          <w:p>
            <w:pPr>
              <w:spacing w:after="0"/>
            </w:pPr>
            <w:r/>
            <w:r>
              <w:rPr>
                <w:rFonts w:ascii="Calibri" w:hAnsi="Calibri"/>
                <w:b w:val="0"/>
                <w:color w:val="333537"/>
                <w:sz w:val="13"/>
              </w:rPr>
              <w:t>DEC-238</w:t>
            </w:r>
          </w:p>
        </w:tc>
        <w:tc>
          <w:tcPr>
            <w:tcW w:type="dxa" w:w="4140"/>
            <w:vAlign w:val="center"/>
          </w:tcPr>
          <w:p>
            <w:pPr>
              <w:spacing w:after="0"/>
            </w:pPr>
            <w:r/>
            <w:r>
              <w:rPr>
                <w:rFonts w:ascii="Calibri" w:hAnsi="Calibri"/>
                <w:b w:val="0"/>
                <w:color w:val="333537"/>
                <w:sz w:val="13"/>
              </w:rPr>
              <w:t>DEC-238 — İletişim politika çekirdeği ve MLS güvenlik temeli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docs/decisions/DEC-238-communication-policy-mls-foundation.md</w:t>
            </w:r>
          </w:p>
        </w:tc>
      </w:tr>
      <w:tr>
        <w:tc>
          <w:tcPr>
            <w:tcW w:type="dxa" w:w="850"/>
            <w:vAlign w:val="center"/>
          </w:tcPr>
          <w:p>
            <w:pPr>
              <w:spacing w:after="0"/>
            </w:pPr>
            <w:r/>
            <w:r>
              <w:rPr>
                <w:rFonts w:ascii="Calibri" w:hAnsi="Calibri"/>
                <w:b w:val="0"/>
                <w:color w:val="333537"/>
                <w:sz w:val="13"/>
              </w:rPr>
              <w:t>DEC-239</w:t>
            </w:r>
          </w:p>
        </w:tc>
        <w:tc>
          <w:tcPr>
            <w:tcW w:type="dxa" w:w="4140"/>
            <w:vAlign w:val="center"/>
          </w:tcPr>
          <w:p>
            <w:pPr>
              <w:spacing w:after="0"/>
            </w:pPr>
            <w:r/>
            <w:r>
              <w:rPr>
                <w:rFonts w:ascii="Calibri" w:hAnsi="Calibri"/>
                <w:b w:val="0"/>
                <w:color w:val="333537"/>
                <w:sz w:val="13"/>
              </w:rPr>
              <w:t>DEC-239 — Mesaj yaşam döngüsü ve mahremiyet koruyan presence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docs/decisions/DEC-239-communication-messaging-lifecycle-privacy-presence.md</w:t>
            </w:r>
          </w:p>
        </w:tc>
      </w:tr>
      <w:tr>
        <w:tc>
          <w:tcPr>
            <w:tcW w:type="dxa" w:w="850"/>
            <w:vAlign w:val="center"/>
          </w:tcPr>
          <w:p>
            <w:pPr>
              <w:spacing w:after="0"/>
            </w:pPr>
            <w:r/>
            <w:r>
              <w:rPr>
                <w:rFonts w:ascii="Calibri" w:hAnsi="Calibri"/>
                <w:b w:val="0"/>
                <w:color w:val="333537"/>
                <w:sz w:val="13"/>
              </w:rPr>
              <w:t>DEC-240</w:t>
            </w:r>
          </w:p>
        </w:tc>
        <w:tc>
          <w:tcPr>
            <w:tcW w:type="dxa" w:w="4140"/>
            <w:vAlign w:val="center"/>
          </w:tcPr>
          <w:p>
            <w:pPr>
              <w:spacing w:after="0"/>
            </w:pPr>
            <w:r/>
            <w:r>
              <w:rPr>
                <w:rFonts w:ascii="Calibri" w:hAnsi="Calibri"/>
                <w:b w:val="0"/>
                <w:color w:val="333537"/>
                <w:sz w:val="13"/>
              </w:rPr>
              <w:t>DEC-240 — Gerçek zamanlı arama planlama ve erişilebilir arama deneyimi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docs/decisions/DEC-240-realtime-calling-media-accessible-ux.md</w:t>
            </w:r>
          </w:p>
        </w:tc>
      </w:tr>
      <w:tr>
        <w:tc>
          <w:tcPr>
            <w:tcW w:type="dxa" w:w="850"/>
            <w:vAlign w:val="center"/>
          </w:tcPr>
          <w:p>
            <w:pPr>
              <w:spacing w:after="0"/>
            </w:pPr>
            <w:r/>
            <w:r>
              <w:rPr>
                <w:rFonts w:ascii="Calibri" w:hAnsi="Calibri"/>
                <w:b w:val="0"/>
                <w:color w:val="333537"/>
                <w:sz w:val="13"/>
              </w:rPr>
              <w:t>DEC-241</w:t>
            </w:r>
          </w:p>
        </w:tc>
        <w:tc>
          <w:tcPr>
            <w:tcW w:type="dxa" w:w="4140"/>
            <w:vAlign w:val="center"/>
          </w:tcPr>
          <w:p>
            <w:pPr>
              <w:spacing w:after="0"/>
            </w:pPr>
            <w:r/>
            <w:r>
              <w:rPr>
                <w:rFonts w:ascii="Calibri" w:hAnsi="Calibri"/>
                <w:b w:val="0"/>
                <w:color w:val="333537"/>
                <w:sz w:val="13"/>
              </w:rPr>
              <w:t>DEC-241 — Açık rızalı görüşme kaydı ve medya saklama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docs/decisions/DEC-241-explicit-consent-recording-media-retention.md</w:t>
            </w:r>
          </w:p>
        </w:tc>
      </w:tr>
      <w:tr>
        <w:tc>
          <w:tcPr>
            <w:tcW w:type="dxa" w:w="850"/>
            <w:vAlign w:val="center"/>
          </w:tcPr>
          <w:p>
            <w:pPr>
              <w:spacing w:after="0"/>
            </w:pPr>
            <w:r/>
            <w:r>
              <w:rPr>
                <w:rFonts w:ascii="Calibri" w:hAnsi="Calibri"/>
                <w:b w:val="0"/>
                <w:color w:val="333537"/>
                <w:sz w:val="13"/>
              </w:rPr>
              <w:t>DEC-242</w:t>
            </w:r>
          </w:p>
        </w:tc>
        <w:tc>
          <w:tcPr>
            <w:tcW w:type="dxa" w:w="4140"/>
            <w:vAlign w:val="center"/>
          </w:tcPr>
          <w:p>
            <w:pPr>
              <w:spacing w:after="0"/>
            </w:pPr>
            <w:r/>
            <w:r>
              <w:rPr>
                <w:rFonts w:ascii="Calibri" w:hAnsi="Calibri"/>
                <w:b w:val="0"/>
                <w:color w:val="333537"/>
                <w:sz w:val="13"/>
              </w:rPr>
              <w:t>DEC-242 — Yerel öncelikli çeviri, altyazı ve dil sağlayıcısı</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docs/decisions/DEC-242-local-first-translation-caption-language-provider.md</w:t>
            </w:r>
          </w:p>
        </w:tc>
      </w:tr>
      <w:tr>
        <w:tc>
          <w:tcPr>
            <w:tcW w:type="dxa" w:w="850"/>
            <w:vAlign w:val="center"/>
          </w:tcPr>
          <w:p>
            <w:pPr>
              <w:spacing w:after="0"/>
            </w:pPr>
            <w:r/>
            <w:r>
              <w:rPr>
                <w:rFonts w:ascii="Calibri" w:hAnsi="Calibri"/>
                <w:b w:val="0"/>
                <w:color w:val="333537"/>
                <w:sz w:val="13"/>
              </w:rPr>
              <w:t>DEC-243</w:t>
            </w:r>
          </w:p>
        </w:tc>
        <w:tc>
          <w:tcPr>
            <w:tcW w:type="dxa" w:w="4140"/>
            <w:vAlign w:val="center"/>
          </w:tcPr>
          <w:p>
            <w:pPr>
              <w:spacing w:after="0"/>
            </w:pPr>
            <w:r/>
            <w:r>
              <w:rPr>
                <w:rFonts w:ascii="Calibri" w:hAnsi="Calibri"/>
                <w:b w:val="0"/>
                <w:color w:val="333537"/>
                <w:sz w:val="13"/>
              </w:rPr>
              <w:t>DEC-243 — Aile toplantıları, kararlar ve rızaya bağlı tutanaklar</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docs/decisions/DEC-243-family-meetings-decisions-consent-minutes.md</w:t>
            </w:r>
          </w:p>
        </w:tc>
      </w:tr>
      <w:tr>
        <w:tc>
          <w:tcPr>
            <w:tcW w:type="dxa" w:w="850"/>
            <w:vAlign w:val="center"/>
          </w:tcPr>
          <w:p>
            <w:pPr>
              <w:spacing w:after="0"/>
            </w:pPr>
            <w:r/>
            <w:r>
              <w:rPr>
                <w:rFonts w:ascii="Calibri" w:hAnsi="Calibri"/>
                <w:b w:val="0"/>
                <w:color w:val="333537"/>
                <w:sz w:val="13"/>
              </w:rPr>
              <w:t>DEC-244</w:t>
            </w:r>
          </w:p>
        </w:tc>
        <w:tc>
          <w:tcPr>
            <w:tcW w:type="dxa" w:w="4140"/>
            <w:vAlign w:val="center"/>
          </w:tcPr>
          <w:p>
            <w:pPr>
              <w:spacing w:after="0"/>
            </w:pPr>
            <w:r/>
            <w:r>
              <w:rPr>
                <w:rFonts w:ascii="Calibri" w:hAnsi="Calibri"/>
                <w:b w:val="0"/>
                <w:color w:val="333537"/>
                <w:sz w:val="13"/>
              </w:rPr>
              <w:t>DEC-244 — E2EE dosya paylaşımı ve kalan iletişim UX</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docs/decisions/DEC-244-e2ee-file-sharing-remaining-communication-ux.md</w:t>
            </w:r>
          </w:p>
        </w:tc>
      </w:tr>
      <w:tr>
        <w:tc>
          <w:tcPr>
            <w:tcW w:type="dxa" w:w="850"/>
            <w:vAlign w:val="center"/>
          </w:tcPr>
          <w:p>
            <w:pPr>
              <w:spacing w:after="0"/>
            </w:pPr>
            <w:r/>
            <w:r>
              <w:rPr>
                <w:rFonts w:ascii="Calibri" w:hAnsi="Calibri"/>
                <w:b w:val="0"/>
                <w:color w:val="333537"/>
                <w:sz w:val="13"/>
              </w:rPr>
              <w:t>DEC-245</w:t>
            </w:r>
          </w:p>
        </w:tc>
        <w:tc>
          <w:tcPr>
            <w:tcW w:type="dxa" w:w="4140"/>
            <w:vAlign w:val="center"/>
          </w:tcPr>
          <w:p>
            <w:pPr>
              <w:spacing w:after="0"/>
            </w:pPr>
            <w:r/>
            <w:r>
              <w:rPr>
                <w:rFonts w:ascii="Calibri" w:hAnsi="Calibri"/>
                <w:b w:val="0"/>
                <w:color w:val="333537"/>
                <w:sz w:val="13"/>
              </w:rPr>
              <w:t>DEC-245 — İletişim audit ve arşiv bütünlüğü</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docs/decisions/DEC-245-communication-audit-archive-integrity.md</w:t>
            </w:r>
          </w:p>
        </w:tc>
      </w:tr>
      <w:tr>
        <w:tc>
          <w:tcPr>
            <w:tcW w:type="dxa" w:w="850"/>
            <w:vAlign w:val="center"/>
          </w:tcPr>
          <w:p>
            <w:pPr>
              <w:spacing w:after="0"/>
            </w:pPr>
            <w:r/>
            <w:r>
              <w:rPr>
                <w:rFonts w:ascii="Calibri" w:hAnsi="Calibri"/>
                <w:b w:val="0"/>
                <w:color w:val="333537"/>
                <w:sz w:val="13"/>
              </w:rPr>
              <w:t>DEC-246</w:t>
            </w:r>
          </w:p>
        </w:tc>
        <w:tc>
          <w:tcPr>
            <w:tcW w:type="dxa" w:w="4140"/>
            <w:vAlign w:val="center"/>
          </w:tcPr>
          <w:p>
            <w:pPr>
              <w:spacing w:after="0"/>
            </w:pPr>
            <w:r/>
            <w:r>
              <w:rPr>
                <w:rFonts w:ascii="Calibri" w:hAnsi="Calibri"/>
                <w:b w:val="0"/>
                <w:color w:val="333537"/>
                <w:sz w:val="13"/>
              </w:rPr>
              <w:t>DEC-246 — Dağıtık Core Service consensus ve tenancy temeli</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docs/decisions/DEC-246-distributed-core-consensus-tenancy.md</w:t>
            </w:r>
          </w:p>
        </w:tc>
      </w:tr>
      <w:tr>
        <w:tc>
          <w:tcPr>
            <w:tcW w:type="dxa" w:w="850"/>
            <w:vAlign w:val="center"/>
          </w:tcPr>
          <w:p>
            <w:pPr>
              <w:spacing w:after="0"/>
            </w:pPr>
            <w:r/>
            <w:r>
              <w:rPr>
                <w:rFonts w:ascii="Calibri" w:hAnsi="Calibri"/>
                <w:b w:val="0"/>
                <w:color w:val="333537"/>
                <w:sz w:val="13"/>
              </w:rPr>
              <w:t>DEC-247</w:t>
            </w:r>
          </w:p>
        </w:tc>
        <w:tc>
          <w:tcPr>
            <w:tcW w:type="dxa" w:w="4140"/>
            <w:vAlign w:val="center"/>
          </w:tcPr>
          <w:p>
            <w:pPr>
              <w:spacing w:after="0"/>
            </w:pPr>
            <w:r/>
            <w:r>
              <w:rPr>
                <w:rFonts w:ascii="Calibri" w:hAnsi="Calibri"/>
                <w:b w:val="0"/>
                <w:color w:val="333537"/>
                <w:sz w:val="13"/>
              </w:rPr>
              <w:t>DEC-247 — Dağıtık istemciler, bağlantı, operasyon ve felaket kurtarma</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docs/decisions/DEC-247-distributed-clients-operations-disaster-recovery.md</w:t>
            </w:r>
          </w:p>
        </w:tc>
      </w:tr>
      <w:tr>
        <w:tc>
          <w:tcPr>
            <w:tcW w:type="dxa" w:w="850"/>
            <w:vAlign w:val="center"/>
          </w:tcPr>
          <w:p>
            <w:pPr>
              <w:spacing w:after="0"/>
            </w:pPr>
            <w:r/>
            <w:r>
              <w:rPr>
                <w:rFonts w:ascii="Calibri" w:hAnsi="Calibri"/>
                <w:b w:val="0"/>
                <w:color w:val="333537"/>
                <w:sz w:val="13"/>
              </w:rPr>
              <w:t>DEC-248</w:t>
            </w:r>
          </w:p>
        </w:tc>
        <w:tc>
          <w:tcPr>
            <w:tcW w:type="dxa" w:w="4140"/>
            <w:vAlign w:val="center"/>
          </w:tcPr>
          <w:p>
            <w:pPr>
              <w:spacing w:after="0"/>
            </w:pPr>
            <w:r/>
            <w:r>
              <w:rPr>
                <w:rFonts w:ascii="Calibri" w:hAnsi="Calibri"/>
                <w:b w:val="0"/>
                <w:color w:val="333537"/>
                <w:sz w:val="13"/>
              </w:rPr>
              <w:t>DEC-248 — Windows dayanıklılık ve evrensel UX konsolidasyonu</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docs/decisions/DEC-248-windows-resilience-universal-ux.md</w:t>
            </w:r>
          </w:p>
        </w:tc>
      </w:tr>
      <w:tr>
        <w:tc>
          <w:tcPr>
            <w:tcW w:type="dxa" w:w="850"/>
            <w:vAlign w:val="center"/>
          </w:tcPr>
          <w:p>
            <w:pPr>
              <w:spacing w:after="0"/>
            </w:pPr>
            <w:r/>
            <w:r>
              <w:rPr>
                <w:rFonts w:ascii="Calibri" w:hAnsi="Calibri"/>
                <w:b w:val="0"/>
                <w:color w:val="333537"/>
                <w:sz w:val="13"/>
              </w:rPr>
              <w:t>DEC-249</w:t>
            </w:r>
          </w:p>
        </w:tc>
        <w:tc>
          <w:tcPr>
            <w:tcW w:type="dxa" w:w="4140"/>
            <w:vAlign w:val="center"/>
          </w:tcPr>
          <w:p>
            <w:pPr>
              <w:spacing w:after="0"/>
            </w:pPr>
            <w:r/>
            <w:r>
              <w:rPr>
                <w:rFonts w:ascii="Calibri" w:hAnsi="Calibri"/>
                <w:b w:val="0"/>
                <w:color w:val="333537"/>
                <w:sz w:val="13"/>
              </w:rPr>
              <w:t>DEC-249 — Bronze final drift, dokümantasyon ve deterministik teslim kapanışı</w:t>
            </w:r>
          </w:p>
        </w:tc>
        <w:tc>
          <w:tcPr>
            <w:tcW w:type="dxa" w:w="1500"/>
            <w:vAlign w:val="center"/>
          </w:tcPr>
          <w:p>
            <w:pPr>
              <w:spacing w:after="0"/>
            </w:pPr>
            <w:r/>
            <w:r>
              <w:rPr>
                <w:rFonts w:ascii="Calibri" w:hAnsi="Calibri"/>
                <w:b w:val="0"/>
                <w:color w:val="333537"/>
                <w:sz w:val="13"/>
              </w:rPr>
              <w:t>PLANNED_FINAL / LOCAL_CLOSURE_AUDIT_STARTED</w:t>
            </w:r>
          </w:p>
        </w:tc>
        <w:tc>
          <w:tcPr>
            <w:tcW w:type="dxa" w:w="2870"/>
            <w:vAlign w:val="center"/>
          </w:tcPr>
          <w:p>
            <w:pPr>
              <w:spacing w:after="0"/>
            </w:pPr>
            <w:r/>
            <w:r>
              <w:rPr>
                <w:rFonts w:ascii="Calibri" w:hAnsi="Calibri"/>
                <w:b w:val="0"/>
                <w:color w:val="333537"/>
                <w:sz w:val="13"/>
              </w:rPr>
              <w:t>docs/decisions/DEC-249-bronze-final-drift-deterministic-delivery-closure.md</w:t>
            </w:r>
          </w:p>
        </w:tc>
      </w:tr>
      <w:tr>
        <w:tc>
          <w:tcPr>
            <w:tcW w:type="dxa" w:w="850"/>
            <w:vAlign w:val="center"/>
          </w:tcPr>
          <w:p>
            <w:pPr>
              <w:spacing w:after="0"/>
            </w:pPr>
            <w:r/>
            <w:r>
              <w:rPr>
                <w:rFonts w:ascii="Calibri" w:hAnsi="Calibri"/>
                <w:b w:val="0"/>
                <w:color w:val="333537"/>
                <w:sz w:val="13"/>
              </w:rPr>
              <w:t>DEC-250</w:t>
            </w:r>
          </w:p>
        </w:tc>
        <w:tc>
          <w:tcPr>
            <w:tcW w:type="dxa" w:w="4140"/>
            <w:vAlign w:val="center"/>
          </w:tcPr>
          <w:p>
            <w:pPr>
              <w:spacing w:after="0"/>
            </w:pPr>
            <w:r/>
            <w:r>
              <w:rPr>
                <w:rFonts w:ascii="Calibri" w:hAnsi="Calibri"/>
                <w:b w:val="0"/>
                <w:color w:val="333537"/>
                <w:sz w:val="13"/>
              </w:rPr>
              <w:t>DEC-250 — Güncel dokümantasyon yenilemesi ve tarihsel kayıtların korunması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docs/decisions/DEC-250-current-documentation-refresh-historical-preservation.md</w:t>
            </w:r>
          </w:p>
        </w:tc>
      </w:tr>
      <w:tr>
        <w:tc>
          <w:tcPr>
            <w:tcW w:type="dxa" w:w="850"/>
            <w:vAlign w:val="center"/>
          </w:tcPr>
          <w:p>
            <w:pPr>
              <w:spacing w:after="0"/>
            </w:pPr>
            <w:r/>
            <w:r>
              <w:rPr>
                <w:rFonts w:ascii="Calibri" w:hAnsi="Calibri"/>
                <w:b w:val="0"/>
                <w:color w:val="333537"/>
                <w:sz w:val="13"/>
              </w:rPr>
              <w:t>DEC-251</w:t>
            </w:r>
          </w:p>
        </w:tc>
        <w:tc>
          <w:tcPr>
            <w:tcW w:type="dxa" w:w="4140"/>
            <w:vAlign w:val="center"/>
          </w:tcPr>
          <w:p>
            <w:pPr>
              <w:spacing w:after="0"/>
            </w:pPr>
            <w:r/>
            <w:r>
              <w:rPr>
                <w:rFonts w:ascii="Calibri" w:hAnsi="Calibri"/>
                <w:b w:val="0"/>
                <w:color w:val="333537"/>
                <w:sz w:val="13"/>
              </w:rPr>
              <w:t>DEC-251 — Karar anında eşzamanlı belge ve iş listesi güncellemesi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docs/decisions/DEC-251-synchronous-decision-documentation-enforcement.md</w:t>
            </w:r>
          </w:p>
        </w:tc>
      </w:tr>
      <w:tr>
        <w:tc>
          <w:tcPr>
            <w:tcW w:type="dxa" w:w="850"/>
            <w:vAlign w:val="center"/>
          </w:tcPr>
          <w:p>
            <w:pPr>
              <w:spacing w:after="0"/>
            </w:pPr>
            <w:r/>
            <w:r>
              <w:rPr>
                <w:rFonts w:ascii="Calibri" w:hAnsi="Calibri"/>
                <w:b w:val="0"/>
                <w:color w:val="333537"/>
                <w:sz w:val="13"/>
              </w:rPr>
              <w:t>DEC-252</w:t>
            </w:r>
          </w:p>
        </w:tc>
        <w:tc>
          <w:tcPr>
            <w:tcW w:type="dxa" w:w="4140"/>
            <w:vAlign w:val="center"/>
          </w:tcPr>
          <w:p>
            <w:pPr>
              <w:spacing w:after="0"/>
            </w:pPr>
            <w:r/>
            <w:r>
              <w:rPr>
                <w:rFonts w:ascii="Calibri" w:hAnsi="Calibri"/>
                <w:b w:val="0"/>
                <w:color w:val="333537"/>
                <w:sz w:val="13"/>
              </w:rPr>
              <w:t>DEC-252 — Tarihsel kayıtların gelecek içerik denetimlerinden çıkarılması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docs/decisions/DEC-252-freeze-historical-records-from-future-content-review.md</w:t>
            </w:r>
          </w:p>
        </w:tc>
      </w:tr>
      <w:tr>
        <w:tc>
          <w:tcPr>
            <w:tcW w:type="dxa" w:w="850"/>
            <w:vAlign w:val="center"/>
          </w:tcPr>
          <w:p>
            <w:pPr>
              <w:spacing w:after="0"/>
            </w:pPr>
            <w:r/>
            <w:r>
              <w:rPr>
                <w:rFonts w:ascii="Calibri" w:hAnsi="Calibri"/>
                <w:b w:val="0"/>
                <w:color w:val="333537"/>
                <w:sz w:val="13"/>
              </w:rPr>
              <w:t>DEC-253</w:t>
            </w:r>
          </w:p>
        </w:tc>
        <w:tc>
          <w:tcPr>
            <w:tcW w:type="dxa" w:w="4140"/>
            <w:vAlign w:val="center"/>
          </w:tcPr>
          <w:p>
            <w:pPr>
              <w:spacing w:after="0"/>
            </w:pPr>
            <w:r/>
            <w:r>
              <w:rPr>
                <w:rFonts w:ascii="Calibri" w:hAnsi="Calibri"/>
                <w:b w:val="0"/>
                <w:color w:val="333537"/>
                <w:sz w:val="13"/>
              </w:rPr>
              <w:t>DEC-253 — Animasyonlu kurulum, yenilenmiş anlatım ve Silver sesli Yardım Merkezi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docs/decisions/DEC-253-animated-installer-narration-and-silver-help-center.md</w:t>
            </w:r>
          </w:p>
        </w:tc>
      </w:tr>
    </w:tbl>
    <w:p>
      <w:r>
        <w:br w:type="page"/>
      </w:r>
    </w:p>
    <w:p>
      <w:pPr>
        <w:pStyle w:val="Heading1"/>
        <w:keepNext/>
      </w:pPr>
      <w:r>
        <w:t>14. ADR dizini — eksiksiz</w:t>
      </w:r>
    </w:p>
    <w:tbl>
      <w:tblPr>
        <w:tblStyle w:val="TableGrid"/>
        <w:tblW w:type="dxa" w:w="9360"/>
        <w:jc w:val="center"/>
        <w:tblLayout w:type="fixed"/>
        <w:tblLook w:firstColumn="1" w:firstRow="1" w:lastColumn="0" w:lastRow="0" w:noHBand="0" w:noVBand="1" w:val="04A0"/>
      </w:tblPr>
      <w:tblGrid>
        <w:gridCol w:w="900"/>
        <w:gridCol w:w="5000"/>
        <w:gridCol w:w="3460"/>
      </w:tblGrid>
      <w:tr>
        <w:tc>
          <w:tcPr>
            <w:tcW w:type="dxa" w:w="900"/>
            <w:shd w:fill="7C4D20"/>
            <w:vAlign w:val="center"/>
          </w:tcPr>
          <w:p>
            <w:pPr>
              <w:spacing w:after="0"/>
            </w:pPr>
            <w:r/>
            <w:r>
              <w:rPr>
                <w:rFonts w:ascii="Calibri" w:hAnsi="Calibri"/>
                <w:b/>
                <w:color w:val="FFFFFF"/>
                <w:sz w:val="13"/>
              </w:rPr>
              <w:t>ID</w:t>
            </w:r>
          </w:p>
        </w:tc>
        <w:tc>
          <w:tcPr>
            <w:tcW w:type="dxa" w:w="5000"/>
            <w:shd w:fill="7C4D20"/>
            <w:vAlign w:val="center"/>
          </w:tcPr>
          <w:p>
            <w:pPr>
              <w:spacing w:after="0"/>
            </w:pPr>
            <w:r/>
            <w:r>
              <w:rPr>
                <w:rFonts w:ascii="Calibri" w:hAnsi="Calibri"/>
                <w:b/>
                <w:color w:val="FFFFFF"/>
                <w:sz w:val="13"/>
              </w:rPr>
              <w:t>Mimari karar</w:t>
            </w:r>
          </w:p>
        </w:tc>
        <w:tc>
          <w:tcPr>
            <w:tcW w:type="dxa" w:w="3460"/>
            <w:shd w:fill="7C4D20"/>
            <w:vAlign w:val="center"/>
          </w:tcPr>
          <w:p>
            <w:pPr>
              <w:spacing w:after="0"/>
            </w:pPr>
            <w:r/>
            <w:r>
              <w:rPr>
                <w:rFonts w:ascii="Calibri" w:hAnsi="Calibri"/>
                <w:b/>
                <w:color w:val="FFFFFF"/>
                <w:sz w:val="13"/>
              </w:rPr>
              <w:t>Dosya</w:t>
            </w:r>
          </w:p>
        </w:tc>
      </w:tr>
      <w:tr>
        <w:tc>
          <w:tcPr>
            <w:tcW w:type="dxa" w:w="900"/>
            <w:vAlign w:val="center"/>
          </w:tcPr>
          <w:p>
            <w:pPr>
              <w:spacing w:after="0"/>
            </w:pPr>
            <w:r/>
            <w:r>
              <w:rPr>
                <w:rFonts w:ascii="Calibri" w:hAnsi="Calibri"/>
                <w:b w:val="0"/>
                <w:color w:val="333537"/>
                <w:sz w:val="13"/>
              </w:rPr>
              <w:t>ADR-001</w:t>
            </w:r>
          </w:p>
        </w:tc>
        <w:tc>
          <w:tcPr>
            <w:tcW w:type="dxa" w:w="5000"/>
            <w:vAlign w:val="center"/>
          </w:tcPr>
          <w:p>
            <w:pPr>
              <w:spacing w:after="0"/>
            </w:pPr>
            <w:r/>
            <w:r>
              <w:rPr>
                <w:rFonts w:ascii="Calibri" w:hAnsi="Calibri"/>
                <w:b w:val="0"/>
                <w:color w:val="333537"/>
                <w:sz w:val="13"/>
              </w:rPr>
              <w:t>ADR-001: Modüler Monolit ve Katman Yönü</w:t>
            </w:r>
          </w:p>
        </w:tc>
        <w:tc>
          <w:tcPr>
            <w:tcW w:type="dxa" w:w="3460"/>
            <w:vAlign w:val="center"/>
          </w:tcPr>
          <w:p>
            <w:pPr>
              <w:spacing w:after="0"/>
            </w:pPr>
            <w:r/>
            <w:r>
              <w:rPr>
                <w:rFonts w:ascii="Calibri" w:hAnsi="Calibri"/>
                <w:b w:val="0"/>
                <w:color w:val="333537"/>
                <w:sz w:val="13"/>
              </w:rPr>
              <w:t>docs/adr/ADR-001-modular-monolith.md</w:t>
            </w:r>
          </w:p>
        </w:tc>
      </w:tr>
      <w:tr>
        <w:tc>
          <w:tcPr>
            <w:tcW w:type="dxa" w:w="900"/>
            <w:vAlign w:val="center"/>
          </w:tcPr>
          <w:p>
            <w:pPr>
              <w:spacing w:after="0"/>
            </w:pPr>
            <w:r/>
            <w:r>
              <w:rPr>
                <w:rFonts w:ascii="Calibri" w:hAnsi="Calibri"/>
                <w:b w:val="0"/>
                <w:color w:val="333537"/>
                <w:sz w:val="13"/>
              </w:rPr>
              <w:t>ADR-002</w:t>
            </w:r>
          </w:p>
        </w:tc>
        <w:tc>
          <w:tcPr>
            <w:tcW w:type="dxa" w:w="5000"/>
            <w:vAlign w:val="center"/>
          </w:tcPr>
          <w:p>
            <w:pPr>
              <w:spacing w:after="0"/>
            </w:pPr>
            <w:r/>
            <w:r>
              <w:rPr>
                <w:rFonts w:ascii="Calibri" w:hAnsi="Calibri"/>
                <w:b w:val="0"/>
                <w:color w:val="333537"/>
                <w:sz w:val="13"/>
              </w:rPr>
              <w:t>ADR-002: Windows Öncelikli Electron + React + TypeScript</w:t>
            </w:r>
          </w:p>
        </w:tc>
        <w:tc>
          <w:tcPr>
            <w:tcW w:type="dxa" w:w="3460"/>
            <w:vAlign w:val="center"/>
          </w:tcPr>
          <w:p>
            <w:pPr>
              <w:spacing w:after="0"/>
            </w:pPr>
            <w:r/>
            <w:r>
              <w:rPr>
                <w:rFonts w:ascii="Calibri" w:hAnsi="Calibri"/>
                <w:b w:val="0"/>
                <w:color w:val="333537"/>
                <w:sz w:val="13"/>
              </w:rPr>
              <w:t>docs/adr/ADR-002-electron-react-typescript.md</w:t>
            </w:r>
          </w:p>
        </w:tc>
      </w:tr>
      <w:tr>
        <w:tc>
          <w:tcPr>
            <w:tcW w:type="dxa" w:w="900"/>
            <w:vAlign w:val="center"/>
          </w:tcPr>
          <w:p>
            <w:pPr>
              <w:spacing w:after="0"/>
            </w:pPr>
            <w:r/>
            <w:r>
              <w:rPr>
                <w:rFonts w:ascii="Calibri" w:hAnsi="Calibri"/>
                <w:b w:val="0"/>
                <w:color w:val="333537"/>
                <w:sz w:val="13"/>
              </w:rPr>
              <w:t>ADR-003</w:t>
            </w:r>
          </w:p>
        </w:tc>
        <w:tc>
          <w:tcPr>
            <w:tcW w:type="dxa" w:w="5000"/>
            <w:vAlign w:val="center"/>
          </w:tcPr>
          <w:p>
            <w:pPr>
              <w:spacing w:after="0"/>
            </w:pPr>
            <w:r/>
            <w:r>
              <w:rPr>
                <w:rFonts w:ascii="Calibri" w:hAnsi="Calibri"/>
                <w:b w:val="0"/>
                <w:color w:val="333537"/>
                <w:sz w:val="13"/>
              </w:rPr>
              <w:t>ADR-003: Yerel-Öncelikli Veri ve Kullanıcı Sahipliği</w:t>
            </w:r>
          </w:p>
        </w:tc>
        <w:tc>
          <w:tcPr>
            <w:tcW w:type="dxa" w:w="3460"/>
            <w:vAlign w:val="center"/>
          </w:tcPr>
          <w:p>
            <w:pPr>
              <w:spacing w:after="0"/>
            </w:pPr>
            <w:r/>
            <w:r>
              <w:rPr>
                <w:rFonts w:ascii="Calibri" w:hAnsi="Calibri"/>
                <w:b w:val="0"/>
                <w:color w:val="333537"/>
                <w:sz w:val="13"/>
              </w:rPr>
              <w:t>docs/adr/ADR-003-local-first-data.md</w:t>
            </w:r>
          </w:p>
        </w:tc>
      </w:tr>
      <w:tr>
        <w:tc>
          <w:tcPr>
            <w:tcW w:type="dxa" w:w="900"/>
            <w:vAlign w:val="center"/>
          </w:tcPr>
          <w:p>
            <w:pPr>
              <w:spacing w:after="0"/>
            </w:pPr>
            <w:r/>
            <w:r>
              <w:rPr>
                <w:rFonts w:ascii="Calibri" w:hAnsi="Calibri"/>
                <w:b w:val="0"/>
                <w:color w:val="333537"/>
                <w:sz w:val="13"/>
              </w:rPr>
              <w:t>ADR-004</w:t>
            </w:r>
          </w:p>
        </w:tc>
        <w:tc>
          <w:tcPr>
            <w:tcW w:type="dxa" w:w="5000"/>
            <w:vAlign w:val="center"/>
          </w:tcPr>
          <w:p>
            <w:pPr>
              <w:spacing w:after="0"/>
            </w:pPr>
            <w:r/>
            <w:r>
              <w:rPr>
                <w:rFonts w:ascii="Calibri" w:hAnsi="Calibri"/>
                <w:b w:val="0"/>
                <w:color w:val="333537"/>
                <w:sz w:val="13"/>
              </w:rPr>
              <w:t>ADR-004: Nesne Düzeyi Yetkilendirme ve Açık Ret Önceliği</w:t>
            </w:r>
          </w:p>
        </w:tc>
        <w:tc>
          <w:tcPr>
            <w:tcW w:type="dxa" w:w="3460"/>
            <w:vAlign w:val="center"/>
          </w:tcPr>
          <w:p>
            <w:pPr>
              <w:spacing w:after="0"/>
            </w:pPr>
            <w:r/>
            <w:r>
              <w:rPr>
                <w:rFonts w:ascii="Calibri" w:hAnsi="Calibri"/>
                <w:b w:val="0"/>
                <w:color w:val="333537"/>
                <w:sz w:val="13"/>
              </w:rPr>
              <w:t>docs/adr/ADR-004-object-level-authorization.md</w:t>
            </w:r>
          </w:p>
        </w:tc>
      </w:tr>
      <w:tr>
        <w:tc>
          <w:tcPr>
            <w:tcW w:type="dxa" w:w="900"/>
            <w:vAlign w:val="center"/>
          </w:tcPr>
          <w:p>
            <w:pPr>
              <w:spacing w:after="0"/>
            </w:pPr>
            <w:r/>
            <w:r>
              <w:rPr>
                <w:rFonts w:ascii="Calibri" w:hAnsi="Calibri"/>
                <w:b w:val="0"/>
                <w:color w:val="333537"/>
                <w:sz w:val="13"/>
              </w:rPr>
              <w:t>ADR-005</w:t>
            </w:r>
          </w:p>
        </w:tc>
        <w:tc>
          <w:tcPr>
            <w:tcW w:type="dxa" w:w="5000"/>
            <w:vAlign w:val="center"/>
          </w:tcPr>
          <w:p>
            <w:pPr>
              <w:spacing w:after="0"/>
            </w:pPr>
            <w:r/>
            <w:r>
              <w:rPr>
                <w:rFonts w:ascii="Calibri" w:hAnsi="Calibri"/>
                <w:b w:val="0"/>
                <w:color w:val="333537"/>
                <w:sz w:val="13"/>
              </w:rPr>
              <w:t>ADR-005: AI Rıza, Veri Erişimi ve İnsan Onayı Sınırı</w:t>
            </w:r>
          </w:p>
        </w:tc>
        <w:tc>
          <w:tcPr>
            <w:tcW w:type="dxa" w:w="3460"/>
            <w:vAlign w:val="center"/>
          </w:tcPr>
          <w:p>
            <w:pPr>
              <w:spacing w:after="0"/>
            </w:pPr>
            <w:r/>
            <w:r>
              <w:rPr>
                <w:rFonts w:ascii="Calibri" w:hAnsi="Calibri"/>
                <w:b w:val="0"/>
                <w:color w:val="333537"/>
                <w:sz w:val="13"/>
              </w:rPr>
              <w:t>docs/adr/ADR-005-ai-consent-boundary.md</w:t>
            </w:r>
          </w:p>
        </w:tc>
      </w:tr>
      <w:tr>
        <w:tc>
          <w:tcPr>
            <w:tcW w:type="dxa" w:w="900"/>
            <w:vAlign w:val="center"/>
          </w:tcPr>
          <w:p>
            <w:pPr>
              <w:spacing w:after="0"/>
            </w:pPr>
            <w:r/>
            <w:r>
              <w:rPr>
                <w:rFonts w:ascii="Calibri" w:hAnsi="Calibri"/>
                <w:b w:val="0"/>
                <w:color w:val="333537"/>
                <w:sz w:val="13"/>
              </w:rPr>
              <w:t>ADR-006</w:t>
            </w:r>
          </w:p>
        </w:tc>
        <w:tc>
          <w:tcPr>
            <w:tcW w:type="dxa" w:w="5000"/>
            <w:vAlign w:val="center"/>
          </w:tcPr>
          <w:p>
            <w:pPr>
              <w:spacing w:after="0"/>
            </w:pPr>
            <w:r/>
            <w:r>
              <w:rPr>
                <w:rFonts w:ascii="Calibri" w:hAnsi="Calibri"/>
                <w:b w:val="0"/>
                <w:color w:val="333537"/>
                <w:sz w:val="13"/>
              </w:rPr>
              <w:t>ADR-006: Ortak Olay Ağı ve Arşivlenebilir Yaşam Döngüsü</w:t>
            </w:r>
          </w:p>
        </w:tc>
        <w:tc>
          <w:tcPr>
            <w:tcW w:type="dxa" w:w="3460"/>
            <w:vAlign w:val="center"/>
          </w:tcPr>
          <w:p>
            <w:pPr>
              <w:spacing w:after="0"/>
            </w:pPr>
            <w:r/>
            <w:r>
              <w:rPr>
                <w:rFonts w:ascii="Calibri" w:hAnsi="Calibri"/>
                <w:b w:val="0"/>
                <w:color w:val="333537"/>
                <w:sz w:val="13"/>
              </w:rPr>
              <w:t>docs/adr/ADR-006-timeline-event-graph.md</w:t>
            </w:r>
          </w:p>
        </w:tc>
      </w:tr>
      <w:tr>
        <w:tc>
          <w:tcPr>
            <w:tcW w:type="dxa" w:w="900"/>
            <w:vAlign w:val="center"/>
          </w:tcPr>
          <w:p>
            <w:pPr>
              <w:spacing w:after="0"/>
            </w:pPr>
            <w:r/>
            <w:r>
              <w:rPr>
                <w:rFonts w:ascii="Calibri" w:hAnsi="Calibri"/>
                <w:b w:val="0"/>
                <w:color w:val="333537"/>
                <w:sz w:val="13"/>
              </w:rPr>
              <w:t>ADR-007</w:t>
            </w:r>
          </w:p>
        </w:tc>
        <w:tc>
          <w:tcPr>
            <w:tcW w:type="dxa" w:w="5000"/>
            <w:vAlign w:val="center"/>
          </w:tcPr>
          <w:p>
            <w:pPr>
              <w:spacing w:after="0"/>
            </w:pPr>
            <w:r/>
            <w:r>
              <w:rPr>
                <w:rFonts w:ascii="Calibri" w:hAnsi="Calibri"/>
                <w:b w:val="0"/>
                <w:color w:val="333537"/>
                <w:sz w:val="13"/>
              </w:rPr>
              <w:t>ADR-007: Sağlayıcı Soyutlama</w:t>
            </w:r>
          </w:p>
        </w:tc>
        <w:tc>
          <w:tcPr>
            <w:tcW w:type="dxa" w:w="3460"/>
            <w:vAlign w:val="center"/>
          </w:tcPr>
          <w:p>
            <w:pPr>
              <w:spacing w:after="0"/>
            </w:pPr>
            <w:r/>
            <w:r>
              <w:rPr>
                <w:rFonts w:ascii="Calibri" w:hAnsi="Calibri"/>
                <w:b w:val="0"/>
                <w:color w:val="333537"/>
                <w:sz w:val="13"/>
              </w:rPr>
              <w:t>docs/adr/ADR-007-provider-abstraction.md</w:t>
            </w:r>
          </w:p>
        </w:tc>
      </w:tr>
      <w:tr>
        <w:tc>
          <w:tcPr>
            <w:tcW w:type="dxa" w:w="900"/>
            <w:vAlign w:val="center"/>
          </w:tcPr>
          <w:p>
            <w:pPr>
              <w:spacing w:after="0"/>
            </w:pPr>
            <w:r/>
            <w:r>
              <w:rPr>
                <w:rFonts w:ascii="Calibri" w:hAnsi="Calibri"/>
                <w:b w:val="0"/>
                <w:color w:val="333537"/>
                <w:sz w:val="13"/>
              </w:rPr>
              <w:t>ADR-008</w:t>
            </w:r>
          </w:p>
        </w:tc>
        <w:tc>
          <w:tcPr>
            <w:tcW w:type="dxa" w:w="5000"/>
            <w:vAlign w:val="center"/>
          </w:tcPr>
          <w:p>
            <w:pPr>
              <w:spacing w:after="0"/>
            </w:pPr>
            <w:r/>
            <w:r>
              <w:rPr>
                <w:rFonts w:ascii="Calibri" w:hAnsi="Calibri"/>
                <w:b w:val="0"/>
                <w:color w:val="333537"/>
                <w:sz w:val="13"/>
              </w:rPr>
              <w:t>ADR-008: Ürün Kimliği ve Yatırım Kapsamından Ayrım</w:t>
            </w:r>
          </w:p>
        </w:tc>
        <w:tc>
          <w:tcPr>
            <w:tcW w:type="dxa" w:w="3460"/>
            <w:vAlign w:val="center"/>
          </w:tcPr>
          <w:p>
            <w:pPr>
              <w:spacing w:after="0"/>
            </w:pPr>
            <w:r/>
            <w:r>
              <w:rPr>
                <w:rFonts w:ascii="Calibri" w:hAnsi="Calibri"/>
                <w:b w:val="0"/>
                <w:color w:val="333537"/>
                <w:sz w:val="13"/>
              </w:rPr>
              <w:t>docs/adr/ADR-008-product-identity-and-scope-separation.md</w:t>
            </w:r>
          </w:p>
        </w:tc>
      </w:tr>
      <w:tr>
        <w:tc>
          <w:tcPr>
            <w:tcW w:type="dxa" w:w="900"/>
            <w:vAlign w:val="center"/>
          </w:tcPr>
          <w:p>
            <w:pPr>
              <w:spacing w:after="0"/>
            </w:pPr>
            <w:r/>
            <w:r>
              <w:rPr>
                <w:rFonts w:ascii="Calibri" w:hAnsi="Calibri"/>
                <w:b w:val="0"/>
                <w:color w:val="333537"/>
                <w:sz w:val="13"/>
              </w:rPr>
              <w:t>ADR-009</w:t>
            </w:r>
          </w:p>
        </w:tc>
        <w:tc>
          <w:tcPr>
            <w:tcW w:type="dxa" w:w="5000"/>
            <w:vAlign w:val="center"/>
          </w:tcPr>
          <w:p>
            <w:pPr>
              <w:spacing w:after="0"/>
            </w:pPr>
            <w:r/>
            <w:r>
              <w:rPr>
                <w:rFonts w:ascii="Calibri" w:hAnsi="Calibri"/>
                <w:b w:val="0"/>
                <w:color w:val="333537"/>
                <w:sz w:val="13"/>
              </w:rPr>
              <w:t>ADR-009: Doğrulama Kanıtı Dürüstlüğü ve Promotion Kontrolü</w:t>
            </w:r>
          </w:p>
        </w:tc>
        <w:tc>
          <w:tcPr>
            <w:tcW w:type="dxa" w:w="3460"/>
            <w:vAlign w:val="center"/>
          </w:tcPr>
          <w:p>
            <w:pPr>
              <w:spacing w:after="0"/>
            </w:pPr>
            <w:r/>
            <w:r>
              <w:rPr>
                <w:rFonts w:ascii="Calibri" w:hAnsi="Calibri"/>
                <w:b w:val="0"/>
                <w:color w:val="333537"/>
                <w:sz w:val="13"/>
              </w:rPr>
              <w:t>docs/adr/ADR-009-release-evidence-honesty.md</w:t>
            </w:r>
          </w:p>
        </w:tc>
      </w:tr>
      <w:tr>
        <w:tc>
          <w:tcPr>
            <w:tcW w:type="dxa" w:w="900"/>
            <w:vAlign w:val="center"/>
          </w:tcPr>
          <w:p>
            <w:pPr>
              <w:spacing w:after="0"/>
            </w:pPr>
            <w:r/>
            <w:r>
              <w:rPr>
                <w:rFonts w:ascii="Calibri" w:hAnsi="Calibri"/>
                <w:b w:val="0"/>
                <w:color w:val="333537"/>
                <w:sz w:val="13"/>
              </w:rPr>
              <w:t>ADR-010</w:t>
            </w:r>
          </w:p>
        </w:tc>
        <w:tc>
          <w:tcPr>
            <w:tcW w:type="dxa" w:w="5000"/>
            <w:vAlign w:val="center"/>
          </w:tcPr>
          <w:p>
            <w:pPr>
              <w:spacing w:after="0"/>
            </w:pPr>
            <w:r/>
            <w:r>
              <w:rPr>
                <w:rFonts w:ascii="Calibri" w:hAnsi="Calibri"/>
                <w:b w:val="0"/>
                <w:color w:val="333537"/>
                <w:sz w:val="13"/>
              </w:rPr>
              <w:t>ADR-010: Apple Esintili Özgün UI ve Merkezi Tipografi</w:t>
            </w:r>
          </w:p>
        </w:tc>
        <w:tc>
          <w:tcPr>
            <w:tcW w:type="dxa" w:w="3460"/>
            <w:vAlign w:val="center"/>
          </w:tcPr>
          <w:p>
            <w:pPr>
              <w:spacing w:after="0"/>
            </w:pPr>
            <w:r/>
            <w:r>
              <w:rPr>
                <w:rFonts w:ascii="Calibri" w:hAnsi="Calibri"/>
                <w:b w:val="0"/>
                <w:color w:val="333537"/>
                <w:sz w:val="13"/>
              </w:rPr>
              <w:t>docs/adr/ADR-010-apple-inspired-ui-typography.md</w:t>
            </w:r>
          </w:p>
        </w:tc>
      </w:tr>
      <w:tr>
        <w:tc>
          <w:tcPr>
            <w:tcW w:type="dxa" w:w="900"/>
            <w:vAlign w:val="center"/>
          </w:tcPr>
          <w:p>
            <w:pPr>
              <w:spacing w:after="0"/>
            </w:pPr>
            <w:r/>
            <w:r>
              <w:rPr>
                <w:rFonts w:ascii="Calibri" w:hAnsi="Calibri"/>
                <w:b w:val="0"/>
                <w:color w:val="333537"/>
                <w:sz w:val="13"/>
              </w:rPr>
              <w:t>ADR-011</w:t>
            </w:r>
          </w:p>
        </w:tc>
        <w:tc>
          <w:tcPr>
            <w:tcW w:type="dxa" w:w="5000"/>
            <w:vAlign w:val="center"/>
          </w:tcPr>
          <w:p>
            <w:pPr>
              <w:spacing w:after="0"/>
            </w:pPr>
            <w:r/>
            <w:r>
              <w:rPr>
                <w:rFonts w:ascii="Calibri" w:hAnsi="Calibri"/>
                <w:b w:val="0"/>
                <w:color w:val="333537"/>
                <w:sz w:val="13"/>
              </w:rPr>
              <w:t>ADR-011: Bağımsız Yedek Hedefleri ve Cihazın Yeniden Yetkilendirilmesi</w:t>
            </w:r>
          </w:p>
        </w:tc>
        <w:tc>
          <w:tcPr>
            <w:tcW w:type="dxa" w:w="3460"/>
            <w:vAlign w:val="center"/>
          </w:tcPr>
          <w:p>
            <w:pPr>
              <w:spacing w:after="0"/>
            </w:pPr>
            <w:r/>
            <w:r>
              <w:rPr>
                <w:rFonts w:ascii="Calibri" w:hAnsi="Calibri"/>
                <w:b w:val="0"/>
                <w:color w:val="333537"/>
                <w:sz w:val="13"/>
              </w:rPr>
              <w:t>docs/adr/ADR-011-independent-backup-and-device-reauthorization.md</w:t>
            </w:r>
          </w:p>
        </w:tc>
      </w:tr>
      <w:tr>
        <w:tc>
          <w:tcPr>
            <w:tcW w:type="dxa" w:w="900"/>
            <w:vAlign w:val="center"/>
          </w:tcPr>
          <w:p>
            <w:pPr>
              <w:spacing w:after="0"/>
            </w:pPr>
            <w:r/>
            <w:r>
              <w:rPr>
                <w:rFonts w:ascii="Calibri" w:hAnsi="Calibri"/>
                <w:b w:val="0"/>
                <w:color w:val="333537"/>
                <w:sz w:val="13"/>
              </w:rPr>
              <w:t>ADR-012</w:t>
            </w:r>
          </w:p>
        </w:tc>
        <w:tc>
          <w:tcPr>
            <w:tcW w:type="dxa" w:w="5000"/>
            <w:vAlign w:val="center"/>
          </w:tcPr>
          <w:p>
            <w:pPr>
              <w:spacing w:after="0"/>
            </w:pPr>
            <w:r/>
            <w:r>
              <w:rPr>
                <w:rFonts w:ascii="Calibri" w:hAnsi="Calibri"/>
                <w:b w:val="0"/>
                <w:color w:val="333537"/>
                <w:sz w:val="13"/>
              </w:rPr>
              <w:t>ADR-012: Belge Yetkisi ve Ana Karar Defteri</w:t>
            </w:r>
          </w:p>
        </w:tc>
        <w:tc>
          <w:tcPr>
            <w:tcW w:type="dxa" w:w="3460"/>
            <w:vAlign w:val="center"/>
          </w:tcPr>
          <w:p>
            <w:pPr>
              <w:spacing w:after="0"/>
            </w:pPr>
            <w:r/>
            <w:r>
              <w:rPr>
                <w:rFonts w:ascii="Calibri" w:hAnsi="Calibri"/>
                <w:b w:val="0"/>
                <w:color w:val="333537"/>
                <w:sz w:val="13"/>
              </w:rPr>
              <w:t>docs/adr/ADR-012-document-authority-and-decision-ledger.md</w:t>
            </w:r>
          </w:p>
        </w:tc>
      </w:tr>
      <w:tr>
        <w:tc>
          <w:tcPr>
            <w:tcW w:type="dxa" w:w="900"/>
            <w:vAlign w:val="center"/>
          </w:tcPr>
          <w:p>
            <w:pPr>
              <w:spacing w:after="0"/>
            </w:pPr>
            <w:r/>
            <w:r>
              <w:rPr>
                <w:rFonts w:ascii="Calibri" w:hAnsi="Calibri"/>
                <w:b w:val="0"/>
                <w:color w:val="333537"/>
                <w:sz w:val="13"/>
              </w:rPr>
              <w:t>ADR-013</w:t>
            </w:r>
          </w:p>
        </w:tc>
        <w:tc>
          <w:tcPr>
            <w:tcW w:type="dxa" w:w="5000"/>
            <w:vAlign w:val="center"/>
          </w:tcPr>
          <w:p>
            <w:pPr>
              <w:spacing w:after="0"/>
            </w:pPr>
            <w:r/>
            <w:r>
              <w:rPr>
                <w:rFonts w:ascii="Calibri" w:hAnsi="Calibri"/>
                <w:b w:val="0"/>
                <w:color w:val="333537"/>
                <w:sz w:val="13"/>
              </w:rPr>
              <w:t>ADR-013 — İşletim Sistemi Korumalı Cihaz Kimliği Sırrı</w:t>
            </w:r>
          </w:p>
        </w:tc>
        <w:tc>
          <w:tcPr>
            <w:tcW w:type="dxa" w:w="3460"/>
            <w:vAlign w:val="center"/>
          </w:tcPr>
          <w:p>
            <w:pPr>
              <w:spacing w:after="0"/>
            </w:pPr>
            <w:r/>
            <w:r>
              <w:rPr>
                <w:rFonts w:ascii="Calibri" w:hAnsi="Calibri"/>
                <w:b w:val="0"/>
                <w:color w:val="333537"/>
                <w:sz w:val="13"/>
              </w:rPr>
              <w:t>docs/adr/ADR-013-os-protected-device-identity-secret.md</w:t>
            </w:r>
          </w:p>
        </w:tc>
      </w:tr>
      <w:tr>
        <w:tc>
          <w:tcPr>
            <w:tcW w:type="dxa" w:w="900"/>
            <w:vAlign w:val="center"/>
          </w:tcPr>
          <w:p>
            <w:pPr>
              <w:spacing w:after="0"/>
            </w:pPr>
            <w:r/>
            <w:r>
              <w:rPr>
                <w:rFonts w:ascii="Calibri" w:hAnsi="Calibri"/>
                <w:b w:val="0"/>
                <w:color w:val="333537"/>
                <w:sz w:val="13"/>
              </w:rPr>
              <w:t>ADR-014</w:t>
            </w:r>
          </w:p>
        </w:tc>
        <w:tc>
          <w:tcPr>
            <w:tcW w:type="dxa" w:w="5000"/>
            <w:vAlign w:val="center"/>
          </w:tcPr>
          <w:p>
            <w:pPr>
              <w:spacing w:after="0"/>
            </w:pPr>
            <w:r/>
            <w:r>
              <w:rPr>
                <w:rFonts w:ascii="Calibri" w:hAnsi="Calibri"/>
                <w:b w:val="0"/>
                <w:color w:val="333537"/>
                <w:sz w:val="13"/>
              </w:rPr>
              <w:t>ADR-014 — İşletim Sistemi Korumalı MFA Sırrı</w:t>
            </w:r>
          </w:p>
        </w:tc>
        <w:tc>
          <w:tcPr>
            <w:tcW w:type="dxa" w:w="3460"/>
            <w:vAlign w:val="center"/>
          </w:tcPr>
          <w:p>
            <w:pPr>
              <w:spacing w:after="0"/>
            </w:pPr>
            <w:r/>
            <w:r>
              <w:rPr>
                <w:rFonts w:ascii="Calibri" w:hAnsi="Calibri"/>
                <w:b w:val="0"/>
                <w:color w:val="333537"/>
                <w:sz w:val="13"/>
              </w:rPr>
              <w:t>docs/adr/ADR-014-os-protected-mfa-secret.md</w:t>
            </w:r>
          </w:p>
        </w:tc>
      </w:tr>
      <w:tr>
        <w:tc>
          <w:tcPr>
            <w:tcW w:type="dxa" w:w="900"/>
            <w:vAlign w:val="center"/>
          </w:tcPr>
          <w:p>
            <w:pPr>
              <w:spacing w:after="0"/>
            </w:pPr>
            <w:r/>
            <w:r>
              <w:rPr>
                <w:rFonts w:ascii="Calibri" w:hAnsi="Calibri"/>
                <w:b w:val="0"/>
                <w:color w:val="333537"/>
                <w:sz w:val="13"/>
              </w:rPr>
              <w:t>ADR-015</w:t>
            </w:r>
          </w:p>
        </w:tc>
        <w:tc>
          <w:tcPr>
            <w:tcW w:type="dxa" w:w="5000"/>
            <w:vAlign w:val="center"/>
          </w:tcPr>
          <w:p>
            <w:pPr>
              <w:spacing w:after="0"/>
            </w:pPr>
            <w:r/>
            <w:r>
              <w:rPr>
                <w:rFonts w:ascii="Calibri" w:hAnsi="Calibri"/>
                <w:b w:val="0"/>
                <w:color w:val="333537"/>
                <w:sz w:val="13"/>
              </w:rPr>
              <w:t>ADR-015 — Parola Korumalı Tam Yedek Kapsayıcısı</w:t>
            </w:r>
          </w:p>
        </w:tc>
        <w:tc>
          <w:tcPr>
            <w:tcW w:type="dxa" w:w="3460"/>
            <w:vAlign w:val="center"/>
          </w:tcPr>
          <w:p>
            <w:pPr>
              <w:spacing w:after="0"/>
            </w:pPr>
            <w:r/>
            <w:r>
              <w:rPr>
                <w:rFonts w:ascii="Calibri" w:hAnsi="Calibri"/>
                <w:b w:val="0"/>
                <w:color w:val="333537"/>
                <w:sz w:val="13"/>
              </w:rPr>
              <w:t>docs/adr/ADR-015-password-protected-full-backup-container.md</w:t>
            </w:r>
          </w:p>
        </w:tc>
      </w:tr>
      <w:tr>
        <w:tc>
          <w:tcPr>
            <w:tcW w:type="dxa" w:w="900"/>
            <w:vAlign w:val="center"/>
          </w:tcPr>
          <w:p>
            <w:pPr>
              <w:spacing w:after="0"/>
            </w:pPr>
            <w:r/>
            <w:r>
              <w:rPr>
                <w:rFonts w:ascii="Calibri" w:hAnsi="Calibri"/>
                <w:b w:val="0"/>
                <w:color w:val="333537"/>
                <w:sz w:val="13"/>
              </w:rPr>
              <w:t>ADR-016</w:t>
            </w:r>
          </w:p>
        </w:tc>
        <w:tc>
          <w:tcPr>
            <w:tcW w:type="dxa" w:w="5000"/>
            <w:vAlign w:val="center"/>
          </w:tcPr>
          <w:p>
            <w:pPr>
              <w:spacing w:after="0"/>
            </w:pPr>
            <w:r/>
            <w:r>
              <w:rPr>
                <w:rFonts w:ascii="Calibri" w:hAnsi="Calibri"/>
                <w:b w:val="0"/>
                <w:color w:val="333537"/>
                <w:sz w:val="13"/>
              </w:rPr>
              <w:t>ADR-016 — Dayanıklı Tam Yedek Geri Yükleme İşlemi</w:t>
            </w:r>
          </w:p>
        </w:tc>
        <w:tc>
          <w:tcPr>
            <w:tcW w:type="dxa" w:w="3460"/>
            <w:vAlign w:val="center"/>
          </w:tcPr>
          <w:p>
            <w:pPr>
              <w:spacing w:after="0"/>
            </w:pPr>
            <w:r/>
            <w:r>
              <w:rPr>
                <w:rFonts w:ascii="Calibri" w:hAnsi="Calibri"/>
                <w:b w:val="0"/>
                <w:color w:val="333537"/>
                <w:sz w:val="13"/>
              </w:rPr>
              <w:t>docs/adr/ADR-016-durable-full-backup-restore-transaction.md</w:t>
            </w:r>
          </w:p>
        </w:tc>
      </w:tr>
      <w:tr>
        <w:tc>
          <w:tcPr>
            <w:tcW w:type="dxa" w:w="900"/>
            <w:vAlign w:val="center"/>
          </w:tcPr>
          <w:p>
            <w:pPr>
              <w:spacing w:after="0"/>
            </w:pPr>
            <w:r/>
            <w:r>
              <w:rPr>
                <w:rFonts w:ascii="Calibri" w:hAnsi="Calibri"/>
                <w:b w:val="0"/>
                <w:color w:val="333537"/>
                <w:sz w:val="13"/>
              </w:rPr>
              <w:t>ADR-017</w:t>
            </w:r>
          </w:p>
        </w:tc>
        <w:tc>
          <w:tcPr>
            <w:tcW w:type="dxa" w:w="5000"/>
            <w:vAlign w:val="center"/>
          </w:tcPr>
          <w:p>
            <w:pPr>
              <w:spacing w:after="0"/>
            </w:pPr>
            <w:r/>
            <w:r>
              <w:rPr>
                <w:rFonts w:ascii="Calibri" w:hAnsi="Calibri"/>
                <w:b w:val="0"/>
                <w:color w:val="333537"/>
                <w:sz w:val="13"/>
              </w:rPr>
              <w:t>ADR-017 — Başlangıç Güvenlik Ön Kontrolü ve Windows DPAPI Kanıtı</w:t>
            </w:r>
          </w:p>
        </w:tc>
        <w:tc>
          <w:tcPr>
            <w:tcW w:type="dxa" w:w="3460"/>
            <w:vAlign w:val="center"/>
          </w:tcPr>
          <w:p>
            <w:pPr>
              <w:spacing w:after="0"/>
            </w:pPr>
            <w:r/>
            <w:r>
              <w:rPr>
                <w:rFonts w:ascii="Calibri" w:hAnsi="Calibri"/>
                <w:b w:val="0"/>
                <w:color w:val="333537"/>
                <w:sz w:val="13"/>
              </w:rPr>
              <w:t>docs/adr/ADR-017-startup-security-preflight-and-windows-dpapi-proof.md</w:t>
            </w:r>
          </w:p>
        </w:tc>
      </w:tr>
      <w:tr>
        <w:tc>
          <w:tcPr>
            <w:tcW w:type="dxa" w:w="900"/>
            <w:vAlign w:val="center"/>
          </w:tcPr>
          <w:p>
            <w:pPr>
              <w:spacing w:after="0"/>
            </w:pPr>
            <w:r/>
            <w:r>
              <w:rPr>
                <w:rFonts w:ascii="Calibri" w:hAnsi="Calibri"/>
                <w:b w:val="0"/>
                <w:color w:val="333537"/>
                <w:sz w:val="13"/>
              </w:rPr>
              <w:t>ADR-018</w:t>
            </w:r>
          </w:p>
        </w:tc>
        <w:tc>
          <w:tcPr>
            <w:tcW w:type="dxa" w:w="5000"/>
            <w:vAlign w:val="center"/>
          </w:tcPr>
          <w:p>
            <w:pPr>
              <w:spacing w:after="0"/>
            </w:pPr>
            <w:r/>
            <w:r>
              <w:rPr>
                <w:rFonts w:ascii="Calibri" w:hAnsi="Calibri"/>
                <w:b w:val="0"/>
                <w:color w:val="333537"/>
                <w:sz w:val="13"/>
              </w:rPr>
              <w:t>ADR-018 — Finans ve Sağlık Nesnelerinde Mahremiyet Öncelikli Yetkilendirme</w:t>
            </w:r>
          </w:p>
        </w:tc>
        <w:tc>
          <w:tcPr>
            <w:tcW w:type="dxa" w:w="3460"/>
            <w:vAlign w:val="center"/>
          </w:tcPr>
          <w:p>
            <w:pPr>
              <w:spacing w:after="0"/>
            </w:pPr>
            <w:r/>
            <w:r>
              <w:rPr>
                <w:rFonts w:ascii="Calibri" w:hAnsi="Calibri"/>
                <w:b w:val="0"/>
                <w:color w:val="333537"/>
                <w:sz w:val="13"/>
              </w:rPr>
              <w:t>docs/adr/ADR-018-sensitive-finance-health-object-privacy.md</w:t>
            </w:r>
          </w:p>
        </w:tc>
      </w:tr>
      <w:tr>
        <w:tc>
          <w:tcPr>
            <w:tcW w:type="dxa" w:w="900"/>
            <w:vAlign w:val="center"/>
          </w:tcPr>
          <w:p>
            <w:pPr>
              <w:spacing w:after="0"/>
            </w:pPr>
            <w:r/>
            <w:r>
              <w:rPr>
                <w:rFonts w:ascii="Calibri" w:hAnsi="Calibri"/>
                <w:b w:val="0"/>
                <w:color w:val="333537"/>
                <w:sz w:val="13"/>
              </w:rPr>
              <w:t>ADR-019</w:t>
            </w:r>
          </w:p>
        </w:tc>
        <w:tc>
          <w:tcPr>
            <w:tcW w:type="dxa" w:w="5000"/>
            <w:vAlign w:val="center"/>
          </w:tcPr>
          <w:p>
            <w:pPr>
              <w:spacing w:after="0"/>
            </w:pPr>
            <w:r/>
            <w:r>
              <w:rPr>
                <w:rFonts w:ascii="Calibri" w:hAnsi="Calibri"/>
                <w:b w:val="0"/>
                <w:color w:val="333537"/>
                <w:sz w:val="13"/>
              </w:rPr>
              <w:t>ADR-019 — Kalıcı erişilebilirlik tercihleri ve kritik klavye akışı</w:t>
            </w:r>
          </w:p>
        </w:tc>
        <w:tc>
          <w:tcPr>
            <w:tcW w:type="dxa" w:w="3460"/>
            <w:vAlign w:val="center"/>
          </w:tcPr>
          <w:p>
            <w:pPr>
              <w:spacing w:after="0"/>
            </w:pPr>
            <w:r/>
            <w:r>
              <w:rPr>
                <w:rFonts w:ascii="Calibri" w:hAnsi="Calibri"/>
                <w:b w:val="0"/>
                <w:color w:val="333537"/>
                <w:sz w:val="13"/>
              </w:rPr>
              <w:t>docs/adr/ADR-019-persistent-accessibility-preferences-and-keyboard-flow.md</w:t>
            </w:r>
          </w:p>
        </w:tc>
      </w:tr>
      <w:tr>
        <w:tc>
          <w:tcPr>
            <w:tcW w:type="dxa" w:w="900"/>
            <w:vAlign w:val="center"/>
          </w:tcPr>
          <w:p>
            <w:pPr>
              <w:spacing w:after="0"/>
            </w:pPr>
            <w:r/>
            <w:r>
              <w:rPr>
                <w:rFonts w:ascii="Calibri" w:hAnsi="Calibri"/>
                <w:b w:val="0"/>
                <w:color w:val="333537"/>
                <w:sz w:val="13"/>
              </w:rPr>
              <w:t>ADR-020</w:t>
            </w:r>
          </w:p>
        </w:tc>
        <w:tc>
          <w:tcPr>
            <w:tcW w:type="dxa" w:w="5000"/>
            <w:vAlign w:val="center"/>
          </w:tcPr>
          <w:p>
            <w:pPr>
              <w:spacing w:after="0"/>
            </w:pPr>
            <w:r/>
            <w:r>
              <w:rPr>
                <w:rFonts w:ascii="Calibri" w:hAnsi="Calibri"/>
                <w:b w:val="0"/>
                <w:color w:val="333537"/>
                <w:sz w:val="13"/>
              </w:rPr>
              <w:t>ADR-020 — İşletim sistemi korumalı arşiv kasa anahtarı ve taşınabilir yeniden sarma</w:t>
            </w:r>
          </w:p>
        </w:tc>
        <w:tc>
          <w:tcPr>
            <w:tcW w:type="dxa" w:w="3460"/>
            <w:vAlign w:val="center"/>
          </w:tcPr>
          <w:p>
            <w:pPr>
              <w:spacing w:after="0"/>
            </w:pPr>
            <w:r/>
            <w:r>
              <w:rPr>
                <w:rFonts w:ascii="Calibri" w:hAnsi="Calibri"/>
                <w:b w:val="0"/>
                <w:color w:val="333537"/>
                <w:sz w:val="13"/>
              </w:rPr>
              <w:t>docs/adr/ADR-020-os-protected-archive-vault-key-and-portable-rewrap.md</w:t>
            </w:r>
          </w:p>
        </w:tc>
      </w:tr>
      <w:tr>
        <w:tc>
          <w:tcPr>
            <w:tcW w:type="dxa" w:w="900"/>
            <w:vAlign w:val="center"/>
          </w:tcPr>
          <w:p>
            <w:pPr>
              <w:spacing w:after="0"/>
            </w:pPr>
            <w:r/>
            <w:r>
              <w:rPr>
                <w:rFonts w:ascii="Calibri" w:hAnsi="Calibri"/>
                <w:b w:val="0"/>
                <w:color w:val="333537"/>
                <w:sz w:val="13"/>
              </w:rPr>
              <w:t>ADR-021</w:t>
            </w:r>
          </w:p>
        </w:tc>
        <w:tc>
          <w:tcPr>
            <w:tcW w:type="dxa" w:w="5000"/>
            <w:vAlign w:val="center"/>
          </w:tcPr>
          <w:p>
            <w:pPr>
              <w:spacing w:after="0"/>
            </w:pPr>
            <w:r/>
            <w:r>
              <w:rPr>
                <w:rFonts w:ascii="Calibri" w:hAnsi="Calibri"/>
                <w:b w:val="0"/>
                <w:color w:val="333537"/>
                <w:sz w:val="13"/>
              </w:rPr>
              <w:t>ADR-021 — Veri saklama, geri alınabilir silme ve kalıcı imha</w:t>
            </w:r>
          </w:p>
        </w:tc>
        <w:tc>
          <w:tcPr>
            <w:tcW w:type="dxa" w:w="3460"/>
            <w:vAlign w:val="center"/>
          </w:tcPr>
          <w:p>
            <w:pPr>
              <w:spacing w:after="0"/>
            </w:pPr>
            <w:r/>
            <w:r>
              <w:rPr>
                <w:rFonts w:ascii="Calibri" w:hAnsi="Calibri"/>
                <w:b w:val="0"/>
                <w:color w:val="333537"/>
                <w:sz w:val="13"/>
              </w:rPr>
              <w:t>docs/adr/ADR-021-data-retention-recoverable-deletion-and-purge.md</w:t>
            </w:r>
          </w:p>
        </w:tc>
      </w:tr>
      <w:tr>
        <w:tc>
          <w:tcPr>
            <w:tcW w:type="dxa" w:w="900"/>
            <w:vAlign w:val="center"/>
          </w:tcPr>
          <w:p>
            <w:pPr>
              <w:spacing w:after="0"/>
            </w:pPr>
            <w:r/>
            <w:r>
              <w:rPr>
                <w:rFonts w:ascii="Calibri" w:hAnsi="Calibri"/>
                <w:b w:val="0"/>
                <w:color w:val="333537"/>
                <w:sz w:val="13"/>
              </w:rPr>
              <w:t>ADR-022</w:t>
            </w:r>
          </w:p>
        </w:tc>
        <w:tc>
          <w:tcPr>
            <w:tcW w:type="dxa" w:w="5000"/>
            <w:vAlign w:val="center"/>
          </w:tcPr>
          <w:p>
            <w:pPr>
              <w:spacing w:after="0"/>
            </w:pPr>
            <w:r/>
            <w:r>
              <w:rPr>
                <w:rFonts w:ascii="Calibri" w:hAnsi="Calibri"/>
                <w:b w:val="0"/>
                <w:color w:val="333537"/>
                <w:sz w:val="13"/>
              </w:rPr>
              <w:t>ADR-022 — Yönetilen yedeklerde doğrulanmış imha yayılımı ve karantina</w:t>
            </w:r>
          </w:p>
        </w:tc>
        <w:tc>
          <w:tcPr>
            <w:tcW w:type="dxa" w:w="3460"/>
            <w:vAlign w:val="center"/>
          </w:tcPr>
          <w:p>
            <w:pPr>
              <w:spacing w:after="0"/>
            </w:pPr>
            <w:r/>
            <w:r>
              <w:rPr>
                <w:rFonts w:ascii="Calibri" w:hAnsi="Calibri"/>
                <w:b w:val="0"/>
                <w:color w:val="333537"/>
                <w:sz w:val="13"/>
              </w:rPr>
              <w:t>docs/adr/ADR-022-verified-managed-backup-purge-propagation.md</w:t>
            </w:r>
          </w:p>
        </w:tc>
      </w:tr>
      <w:tr>
        <w:tc>
          <w:tcPr>
            <w:tcW w:type="dxa" w:w="900"/>
            <w:vAlign w:val="center"/>
          </w:tcPr>
          <w:p>
            <w:pPr>
              <w:spacing w:after="0"/>
            </w:pPr>
            <w:r/>
            <w:r>
              <w:rPr>
                <w:rFonts w:ascii="Calibri" w:hAnsi="Calibri"/>
                <w:b w:val="0"/>
                <w:color w:val="333537"/>
                <w:sz w:val="13"/>
              </w:rPr>
              <w:t>ADR-023</w:t>
            </w:r>
          </w:p>
        </w:tc>
        <w:tc>
          <w:tcPr>
            <w:tcW w:type="dxa" w:w="5000"/>
            <w:vAlign w:val="center"/>
          </w:tcPr>
          <w:p>
            <w:pPr>
              <w:spacing w:after="0"/>
            </w:pPr>
            <w:r/>
            <w:r>
              <w:rPr>
                <w:rFonts w:ascii="Calibri" w:hAnsi="Calibri"/>
                <w:b w:val="0"/>
                <w:color w:val="333537"/>
                <w:sz w:val="13"/>
              </w:rPr>
              <w:t>ADR-023 — Yedek karantinası saklama, hukuki bekletme ve devam ettirilebilir nihai imha</w:t>
            </w:r>
          </w:p>
        </w:tc>
        <w:tc>
          <w:tcPr>
            <w:tcW w:type="dxa" w:w="3460"/>
            <w:vAlign w:val="center"/>
          </w:tcPr>
          <w:p>
            <w:pPr>
              <w:spacing w:after="0"/>
            </w:pPr>
            <w:r/>
            <w:r>
              <w:rPr>
                <w:rFonts w:ascii="Calibri" w:hAnsi="Calibri"/>
                <w:b w:val="0"/>
                <w:color w:val="333537"/>
                <w:sz w:val="13"/>
              </w:rPr>
              <w:t>docs/adr/ADR-023-backup-quarantine-retention-legal-hold-and-destruction.md</w:t>
            </w:r>
          </w:p>
        </w:tc>
      </w:tr>
      <w:tr>
        <w:tc>
          <w:tcPr>
            <w:tcW w:type="dxa" w:w="900"/>
            <w:vAlign w:val="center"/>
          </w:tcPr>
          <w:p>
            <w:pPr>
              <w:spacing w:after="0"/>
            </w:pPr>
            <w:r/>
            <w:r>
              <w:rPr>
                <w:rFonts w:ascii="Calibri" w:hAnsi="Calibri"/>
                <w:b w:val="0"/>
                <w:color w:val="333537"/>
                <w:sz w:val="13"/>
              </w:rPr>
              <w:t>ADR-024</w:t>
            </w:r>
          </w:p>
        </w:tc>
        <w:tc>
          <w:tcPr>
            <w:tcW w:type="dxa" w:w="5000"/>
            <w:vAlign w:val="center"/>
          </w:tcPr>
          <w:p>
            <w:pPr>
              <w:spacing w:after="0"/>
            </w:pPr>
            <w:r/>
            <w:r>
              <w:rPr>
                <w:rFonts w:ascii="Calibri" w:hAnsi="Calibri"/>
                <w:b w:val="0"/>
                <w:color w:val="333537"/>
                <w:sz w:val="13"/>
              </w:rPr>
              <w:t>ADR-024 — Uygulama Dışı Yedek Envanteri ve Kullanıcı İmha Beyanı</w:t>
            </w:r>
          </w:p>
        </w:tc>
        <w:tc>
          <w:tcPr>
            <w:tcW w:type="dxa" w:w="3460"/>
            <w:vAlign w:val="center"/>
          </w:tcPr>
          <w:p>
            <w:pPr>
              <w:spacing w:after="0"/>
            </w:pPr>
            <w:r/>
            <w:r>
              <w:rPr>
                <w:rFonts w:ascii="Calibri" w:hAnsi="Calibri"/>
                <w:b w:val="0"/>
                <w:color w:val="333537"/>
                <w:sz w:val="13"/>
              </w:rPr>
              <w:t>docs/adr/ADR-024-external-backup-inventory-and-user-attestation.md</w:t>
            </w:r>
          </w:p>
        </w:tc>
      </w:tr>
      <w:tr>
        <w:tc>
          <w:tcPr>
            <w:tcW w:type="dxa" w:w="900"/>
            <w:vAlign w:val="center"/>
          </w:tcPr>
          <w:p>
            <w:pPr>
              <w:spacing w:after="0"/>
            </w:pPr>
            <w:r/>
            <w:r>
              <w:rPr>
                <w:rFonts w:ascii="Calibri" w:hAnsi="Calibri"/>
                <w:b w:val="0"/>
                <w:color w:val="333537"/>
                <w:sz w:val="13"/>
              </w:rPr>
              <w:t>ADR-025</w:t>
            </w:r>
          </w:p>
        </w:tc>
        <w:tc>
          <w:tcPr>
            <w:tcW w:type="dxa" w:w="5000"/>
            <w:vAlign w:val="center"/>
          </w:tcPr>
          <w:p>
            <w:pPr>
              <w:spacing w:after="0"/>
            </w:pPr>
            <w:r/>
            <w:r>
              <w:rPr>
                <w:rFonts w:ascii="Calibri" w:hAnsi="Calibri"/>
                <w:b w:val="0"/>
                <w:color w:val="333537"/>
                <w:sz w:val="13"/>
              </w:rPr>
              <w:t>ADR-025 — İmzalı Haricî Yedek İmha Kanıtı ve Sağlayıcı Güven Zinciri</w:t>
            </w:r>
          </w:p>
        </w:tc>
        <w:tc>
          <w:tcPr>
            <w:tcW w:type="dxa" w:w="3460"/>
            <w:vAlign w:val="center"/>
          </w:tcPr>
          <w:p>
            <w:pPr>
              <w:spacing w:after="0"/>
            </w:pPr>
            <w:r/>
            <w:r>
              <w:rPr>
                <w:rFonts w:ascii="Calibri" w:hAnsi="Calibri"/>
                <w:b w:val="0"/>
                <w:color w:val="333537"/>
                <w:sz w:val="13"/>
              </w:rPr>
              <w:t>docs/adr/ADR-025-signed-external-backup-destruction-evidence.md</w:t>
            </w:r>
          </w:p>
        </w:tc>
      </w:tr>
      <w:tr>
        <w:tc>
          <w:tcPr>
            <w:tcW w:type="dxa" w:w="900"/>
            <w:vAlign w:val="center"/>
          </w:tcPr>
          <w:p>
            <w:pPr>
              <w:spacing w:after="0"/>
            </w:pPr>
            <w:r/>
            <w:r>
              <w:rPr>
                <w:rFonts w:ascii="Calibri" w:hAnsi="Calibri"/>
                <w:b w:val="0"/>
                <w:color w:val="333537"/>
                <w:sz w:val="13"/>
              </w:rPr>
              <w:t>ADR-026</w:t>
            </w:r>
          </w:p>
        </w:tc>
        <w:tc>
          <w:tcPr>
            <w:tcW w:type="dxa" w:w="5000"/>
            <w:vAlign w:val="center"/>
          </w:tcPr>
          <w:p>
            <w:pPr>
              <w:spacing w:after="0"/>
            </w:pPr>
            <w:r/>
            <w:r>
              <w:rPr>
                <w:rFonts w:ascii="Calibri" w:hAnsi="Calibri"/>
                <w:b w:val="0"/>
                <w:color w:val="333537"/>
                <w:sz w:val="13"/>
              </w:rPr>
              <w:t>ADR-026 — İmzalı kanıt sağlayıcısı anahtar döndürme ve zamansal güven</w:t>
            </w:r>
          </w:p>
        </w:tc>
        <w:tc>
          <w:tcPr>
            <w:tcW w:type="dxa" w:w="3460"/>
            <w:vAlign w:val="center"/>
          </w:tcPr>
          <w:p>
            <w:pPr>
              <w:spacing w:after="0"/>
            </w:pPr>
            <w:r/>
            <w:r>
              <w:rPr>
                <w:rFonts w:ascii="Calibri" w:hAnsi="Calibri"/>
                <w:b w:val="0"/>
                <w:color w:val="333537"/>
                <w:sz w:val="13"/>
              </w:rPr>
              <w:t>docs/adr/ADR-026-signed-evidence-key-rotation-and-temporal-trust.md</w:t>
            </w:r>
          </w:p>
        </w:tc>
      </w:tr>
      <w:tr>
        <w:tc>
          <w:tcPr>
            <w:tcW w:type="dxa" w:w="900"/>
            <w:vAlign w:val="center"/>
          </w:tcPr>
          <w:p>
            <w:pPr>
              <w:spacing w:after="0"/>
            </w:pPr>
            <w:r/>
            <w:r>
              <w:rPr>
                <w:rFonts w:ascii="Calibri" w:hAnsi="Calibri"/>
                <w:b w:val="0"/>
                <w:color w:val="333537"/>
                <w:sz w:val="13"/>
              </w:rPr>
              <w:t>ADR-027</w:t>
            </w:r>
          </w:p>
        </w:tc>
        <w:tc>
          <w:tcPr>
            <w:tcW w:type="dxa" w:w="5000"/>
            <w:vAlign w:val="center"/>
          </w:tcPr>
          <w:p>
            <w:pPr>
              <w:spacing w:after="0"/>
            </w:pPr>
            <w:r/>
            <w:r>
              <w:rPr>
                <w:rFonts w:ascii="Calibri" w:hAnsi="Calibri"/>
                <w:b w:val="0"/>
                <w:color w:val="333537"/>
                <w:sz w:val="13"/>
              </w:rPr>
              <w:t>ADR-027 — İmzalı kanıt sağlayıcısı iptal listesi ve çevrimdışı güven önbelleği</w:t>
            </w:r>
          </w:p>
        </w:tc>
        <w:tc>
          <w:tcPr>
            <w:tcW w:type="dxa" w:w="3460"/>
            <w:vAlign w:val="center"/>
          </w:tcPr>
          <w:p>
            <w:pPr>
              <w:spacing w:after="0"/>
            </w:pPr>
            <w:r/>
            <w:r>
              <w:rPr>
                <w:rFonts w:ascii="Calibri" w:hAnsi="Calibri"/>
                <w:b w:val="0"/>
                <w:color w:val="333537"/>
                <w:sz w:val="13"/>
              </w:rPr>
              <w:t>docs/adr/ADR-027-signed-evidence-revocation-list-and-offline-cache.md</w:t>
            </w:r>
          </w:p>
        </w:tc>
      </w:tr>
      <w:tr>
        <w:tc>
          <w:tcPr>
            <w:tcW w:type="dxa" w:w="900"/>
            <w:vAlign w:val="center"/>
          </w:tcPr>
          <w:p>
            <w:pPr>
              <w:spacing w:after="0"/>
            </w:pPr>
            <w:r/>
            <w:r>
              <w:rPr>
                <w:rFonts w:ascii="Calibri" w:hAnsi="Calibri"/>
                <w:b w:val="0"/>
                <w:color w:val="333537"/>
                <w:sz w:val="13"/>
              </w:rPr>
              <w:t>ADR-028</w:t>
            </w:r>
          </w:p>
        </w:tc>
        <w:tc>
          <w:tcPr>
            <w:tcW w:type="dxa" w:w="5000"/>
            <w:vAlign w:val="center"/>
          </w:tcPr>
          <w:p>
            <w:pPr>
              <w:spacing w:after="0"/>
            </w:pPr>
            <w:r/>
            <w:r>
              <w:rPr>
                <w:rFonts w:ascii="Calibri" w:hAnsi="Calibri"/>
                <w:b w:val="0"/>
                <w:color w:val="333537"/>
                <w:sz w:val="13"/>
              </w:rPr>
              <w:t>ADR-028 — Güvenilen iptal listesi uç noktası ve TLS SPKI pin döndürme</w:t>
            </w:r>
          </w:p>
        </w:tc>
        <w:tc>
          <w:tcPr>
            <w:tcW w:type="dxa" w:w="3460"/>
            <w:vAlign w:val="center"/>
          </w:tcPr>
          <w:p>
            <w:pPr>
              <w:spacing w:after="0"/>
            </w:pPr>
            <w:r/>
            <w:r>
              <w:rPr>
                <w:rFonts w:ascii="Calibri" w:hAnsi="Calibri"/>
                <w:b w:val="0"/>
                <w:color w:val="333537"/>
                <w:sz w:val="13"/>
              </w:rPr>
              <w:t>docs/adr/ADR-028-trusted-revocation-endpoint-and-tls-pin-rotation.md</w:t>
            </w:r>
          </w:p>
        </w:tc>
      </w:tr>
      <w:tr>
        <w:tc>
          <w:tcPr>
            <w:tcW w:type="dxa" w:w="900"/>
            <w:vAlign w:val="center"/>
          </w:tcPr>
          <w:p>
            <w:pPr>
              <w:spacing w:after="0"/>
            </w:pPr>
            <w:r/>
            <w:r>
              <w:rPr>
                <w:rFonts w:ascii="Calibri" w:hAnsi="Calibri"/>
                <w:b w:val="0"/>
                <w:color w:val="333537"/>
                <w:sz w:val="13"/>
              </w:rPr>
              <w:t>ADR-029</w:t>
            </w:r>
          </w:p>
        </w:tc>
        <w:tc>
          <w:tcPr>
            <w:tcW w:type="dxa" w:w="5000"/>
            <w:vAlign w:val="center"/>
          </w:tcPr>
          <w:p>
            <w:pPr>
              <w:spacing w:after="0"/>
            </w:pPr>
            <w:r/>
            <w:r>
              <w:rPr>
                <w:rFonts w:ascii="Calibri" w:hAnsi="Calibri"/>
                <w:b w:val="0"/>
                <w:color w:val="333537"/>
                <w:sz w:val="13"/>
              </w:rPr>
              <w:t>ADR-029 — Doğrulanmış Aile Verisi İçe Aktarma ve Kontrollü Geri Alma</w:t>
            </w:r>
          </w:p>
        </w:tc>
        <w:tc>
          <w:tcPr>
            <w:tcW w:type="dxa" w:w="3460"/>
            <w:vAlign w:val="center"/>
          </w:tcPr>
          <w:p>
            <w:pPr>
              <w:spacing w:after="0"/>
            </w:pPr>
            <w:r/>
            <w:r>
              <w:rPr>
                <w:rFonts w:ascii="Calibri" w:hAnsi="Calibri"/>
                <w:b w:val="0"/>
                <w:color w:val="333537"/>
                <w:sz w:val="13"/>
              </w:rPr>
              <w:t>docs/adr/ADR-029-validated-family-data-import-and-controlled-rollback.md</w:t>
            </w:r>
          </w:p>
        </w:tc>
      </w:tr>
      <w:tr>
        <w:tc>
          <w:tcPr>
            <w:tcW w:type="dxa" w:w="900"/>
            <w:vAlign w:val="center"/>
          </w:tcPr>
          <w:p>
            <w:pPr>
              <w:spacing w:after="0"/>
            </w:pPr>
            <w:r/>
            <w:r>
              <w:rPr>
                <w:rFonts w:ascii="Calibri" w:hAnsi="Calibri"/>
                <w:b w:val="0"/>
                <w:color w:val="333537"/>
                <w:sz w:val="13"/>
              </w:rPr>
              <w:t>ADR-030</w:t>
            </w:r>
          </w:p>
        </w:tc>
        <w:tc>
          <w:tcPr>
            <w:tcW w:type="dxa" w:w="5000"/>
            <w:vAlign w:val="center"/>
          </w:tcPr>
          <w:p>
            <w:pPr>
              <w:spacing w:after="0"/>
            </w:pPr>
            <w:r/>
            <w:r>
              <w:rPr>
                <w:rFonts w:ascii="Calibri" w:hAnsi="Calibri"/>
                <w:b w:val="0"/>
                <w:color w:val="333537"/>
                <w:sz w:val="13"/>
              </w:rPr>
              <w:t>ADR-030 — Anahtar Tabanlı Sayfalama ve Sınırlı Renderer Penceresi</w:t>
            </w:r>
          </w:p>
        </w:tc>
        <w:tc>
          <w:tcPr>
            <w:tcW w:type="dxa" w:w="3460"/>
            <w:vAlign w:val="center"/>
          </w:tcPr>
          <w:p>
            <w:pPr>
              <w:spacing w:after="0"/>
            </w:pPr>
            <w:r/>
            <w:r>
              <w:rPr>
                <w:rFonts w:ascii="Calibri" w:hAnsi="Calibri"/>
                <w:b w:val="0"/>
                <w:color w:val="333537"/>
                <w:sz w:val="13"/>
              </w:rPr>
              <w:t>docs/adr/ADR-030-keyset-pagination-and-bounded-rendering.md</w:t>
            </w:r>
          </w:p>
        </w:tc>
      </w:tr>
      <w:tr>
        <w:tc>
          <w:tcPr>
            <w:tcW w:type="dxa" w:w="900"/>
            <w:vAlign w:val="center"/>
          </w:tcPr>
          <w:p>
            <w:pPr>
              <w:spacing w:after="0"/>
            </w:pPr>
            <w:r/>
            <w:r>
              <w:rPr>
                <w:rFonts w:ascii="Calibri" w:hAnsi="Calibri"/>
                <w:b w:val="0"/>
                <w:color w:val="333537"/>
                <w:sz w:val="13"/>
              </w:rPr>
              <w:t>ADR-031</w:t>
            </w:r>
          </w:p>
        </w:tc>
        <w:tc>
          <w:tcPr>
            <w:tcW w:type="dxa" w:w="5000"/>
            <w:vAlign w:val="center"/>
          </w:tcPr>
          <w:p>
            <w:pPr>
              <w:spacing w:after="0"/>
            </w:pPr>
            <w:r/>
            <w:r>
              <w:rPr>
                <w:rFonts w:ascii="Calibri" w:hAnsi="Calibri"/>
                <w:b w:val="0"/>
                <w:color w:val="333537"/>
                <w:sz w:val="13"/>
              </w:rPr>
              <w:t>ADR-031 — Content-addressed npm dependency handoff</w:t>
            </w:r>
          </w:p>
        </w:tc>
        <w:tc>
          <w:tcPr>
            <w:tcW w:type="dxa" w:w="3460"/>
            <w:vAlign w:val="center"/>
          </w:tcPr>
          <w:p>
            <w:pPr>
              <w:spacing w:after="0"/>
            </w:pPr>
            <w:r/>
            <w:r>
              <w:rPr>
                <w:rFonts w:ascii="Calibri" w:hAnsi="Calibri"/>
                <w:b w:val="0"/>
                <w:color w:val="333537"/>
                <w:sz w:val="13"/>
              </w:rPr>
              <w:t>docs/adr/ADR-031-content-addressed-npm-dependency-handoff.md</w:t>
            </w:r>
          </w:p>
        </w:tc>
      </w:tr>
      <w:tr>
        <w:tc>
          <w:tcPr>
            <w:tcW w:type="dxa" w:w="900"/>
            <w:vAlign w:val="center"/>
          </w:tcPr>
          <w:p>
            <w:pPr>
              <w:spacing w:after="0"/>
            </w:pPr>
            <w:r/>
            <w:r>
              <w:rPr>
                <w:rFonts w:ascii="Calibri" w:hAnsi="Calibri"/>
                <w:b w:val="0"/>
                <w:color w:val="333537"/>
                <w:sz w:val="13"/>
              </w:rPr>
              <w:t>ADR-032</w:t>
            </w:r>
          </w:p>
        </w:tc>
        <w:tc>
          <w:tcPr>
            <w:tcW w:type="dxa" w:w="5000"/>
            <w:vAlign w:val="center"/>
          </w:tcPr>
          <w:p>
            <w:pPr>
              <w:spacing w:after="0"/>
            </w:pPr>
            <w:r/>
            <w:r>
              <w:rPr>
                <w:rFonts w:ascii="Calibri" w:hAnsi="Calibri"/>
                <w:b w:val="0"/>
                <w:color w:val="333537"/>
                <w:sz w:val="13"/>
              </w:rPr>
              <w:t>ADR-032 — Sınırlı Başlangıç ve Ekran Bazlı Tembel Veri Yükleme</w:t>
            </w:r>
          </w:p>
        </w:tc>
        <w:tc>
          <w:tcPr>
            <w:tcW w:type="dxa" w:w="3460"/>
            <w:vAlign w:val="center"/>
          </w:tcPr>
          <w:p>
            <w:pPr>
              <w:spacing w:after="0"/>
            </w:pPr>
            <w:r/>
            <w:r>
              <w:rPr>
                <w:rFonts w:ascii="Calibri" w:hAnsi="Calibri"/>
                <w:b w:val="0"/>
                <w:color w:val="333537"/>
                <w:sz w:val="13"/>
              </w:rPr>
              <w:t>docs/adr/ADR-032-bounded-bootstrap-and-screen-lazy-loading.md</w:t>
            </w:r>
          </w:p>
        </w:tc>
      </w:tr>
      <w:tr>
        <w:tc>
          <w:tcPr>
            <w:tcW w:type="dxa" w:w="900"/>
            <w:vAlign w:val="center"/>
          </w:tcPr>
          <w:p>
            <w:pPr>
              <w:spacing w:after="0"/>
            </w:pPr>
            <w:r/>
            <w:r>
              <w:rPr>
                <w:rFonts w:ascii="Calibri" w:hAnsi="Calibri"/>
                <w:b w:val="0"/>
                <w:color w:val="333537"/>
                <w:sz w:val="13"/>
              </w:rPr>
              <w:t>ADR-033</w:t>
            </w:r>
          </w:p>
        </w:tc>
        <w:tc>
          <w:tcPr>
            <w:tcW w:type="dxa" w:w="5000"/>
            <w:vAlign w:val="center"/>
          </w:tcPr>
          <w:p>
            <w:pPr>
              <w:spacing w:after="0"/>
            </w:pPr>
            <w:r/>
            <w:r>
              <w:rPr>
                <w:rFonts w:ascii="Calibri" w:hAnsi="Calibri"/>
                <w:b w:val="0"/>
                <w:color w:val="333537"/>
                <w:sz w:val="13"/>
              </w:rPr>
              <w:t>ADR-033 — Arama Destekli Keyset Kişi ve Olay Katalogları</w:t>
            </w:r>
          </w:p>
        </w:tc>
        <w:tc>
          <w:tcPr>
            <w:tcW w:type="dxa" w:w="3460"/>
            <w:vAlign w:val="center"/>
          </w:tcPr>
          <w:p>
            <w:pPr>
              <w:spacing w:after="0"/>
            </w:pPr>
            <w:r/>
            <w:r>
              <w:rPr>
                <w:rFonts w:ascii="Calibri" w:hAnsi="Calibri"/>
                <w:b w:val="0"/>
                <w:color w:val="333537"/>
                <w:sz w:val="13"/>
              </w:rPr>
              <w:t>docs/adr/ADR-033-searchable-keyset-entity-catalogs.md</w:t>
            </w:r>
          </w:p>
        </w:tc>
      </w:tr>
      <w:tr>
        <w:tc>
          <w:tcPr>
            <w:tcW w:type="dxa" w:w="900"/>
            <w:vAlign w:val="center"/>
          </w:tcPr>
          <w:p>
            <w:pPr>
              <w:spacing w:after="0"/>
            </w:pPr>
            <w:r/>
            <w:r>
              <w:rPr>
                <w:rFonts w:ascii="Calibri" w:hAnsi="Calibri"/>
                <w:b w:val="0"/>
                <w:color w:val="333537"/>
                <w:sz w:val="13"/>
              </w:rPr>
              <w:t>ADR-034</w:t>
            </w:r>
          </w:p>
        </w:tc>
        <w:tc>
          <w:tcPr>
            <w:tcW w:type="dxa" w:w="5000"/>
            <w:vAlign w:val="center"/>
          </w:tcPr>
          <w:p>
            <w:pPr>
              <w:spacing w:after="0"/>
            </w:pPr>
            <w:r/>
            <w:r>
              <w:rPr>
                <w:rFonts w:ascii="Calibri" w:hAnsi="Calibri"/>
                <w:b w:val="0"/>
                <w:color w:val="333537"/>
                <w:sz w:val="13"/>
              </w:rPr>
              <w:t>ADR-034 — Oturum güvenli asenkron state ve monoton mutasyon sıralaması</w:t>
            </w:r>
          </w:p>
        </w:tc>
        <w:tc>
          <w:tcPr>
            <w:tcW w:type="dxa" w:w="3460"/>
            <w:vAlign w:val="center"/>
          </w:tcPr>
          <w:p>
            <w:pPr>
              <w:spacing w:after="0"/>
            </w:pPr>
            <w:r/>
            <w:r>
              <w:rPr>
                <w:rFonts w:ascii="Calibri" w:hAnsi="Calibri"/>
                <w:b w:val="0"/>
                <w:color w:val="333537"/>
                <w:sz w:val="13"/>
              </w:rPr>
              <w:t>docs/adr/ADR-034-session-safe-async-state-ordering.md</w:t>
            </w:r>
          </w:p>
        </w:tc>
      </w:tr>
      <w:tr>
        <w:tc>
          <w:tcPr>
            <w:tcW w:type="dxa" w:w="900"/>
            <w:vAlign w:val="center"/>
          </w:tcPr>
          <w:p>
            <w:pPr>
              <w:spacing w:after="0"/>
            </w:pPr>
            <w:r/>
            <w:r>
              <w:rPr>
                <w:rFonts w:ascii="Calibri" w:hAnsi="Calibri"/>
                <w:b w:val="0"/>
                <w:color w:val="333537"/>
                <w:sz w:val="13"/>
              </w:rPr>
              <w:t>ADR-035</w:t>
            </w:r>
          </w:p>
        </w:tc>
        <w:tc>
          <w:tcPr>
            <w:tcW w:type="dxa" w:w="5000"/>
            <w:vAlign w:val="center"/>
          </w:tcPr>
          <w:p>
            <w:pPr>
              <w:spacing w:after="0"/>
            </w:pPr>
            <w:r/>
            <w:r>
              <w:rPr>
                <w:rFonts w:ascii="Calibri" w:hAnsi="Calibri"/>
                <w:b w:val="0"/>
                <w:color w:val="333537"/>
                <w:sz w:val="13"/>
              </w:rPr>
              <w:t>ADR-035 — İstek, oturum ve revizyon bağlı IPC taşıması</w:t>
            </w:r>
          </w:p>
        </w:tc>
        <w:tc>
          <w:tcPr>
            <w:tcW w:type="dxa" w:w="3460"/>
            <w:vAlign w:val="center"/>
          </w:tcPr>
          <w:p>
            <w:pPr>
              <w:spacing w:after="0"/>
            </w:pPr>
            <w:r/>
            <w:r>
              <w:rPr>
                <w:rFonts w:ascii="Calibri" w:hAnsi="Calibri"/>
                <w:b w:val="0"/>
                <w:color w:val="333537"/>
                <w:sz w:val="13"/>
              </w:rPr>
              <w:t>docs/adr/ADR-035-request-session-revision-bound-ipc-transport.md</w:t>
            </w:r>
          </w:p>
        </w:tc>
      </w:tr>
      <w:tr>
        <w:tc>
          <w:tcPr>
            <w:tcW w:type="dxa" w:w="900"/>
            <w:vAlign w:val="center"/>
          </w:tcPr>
          <w:p>
            <w:pPr>
              <w:spacing w:after="0"/>
            </w:pPr>
            <w:r/>
            <w:r>
              <w:rPr>
                <w:rFonts w:ascii="Calibri" w:hAnsi="Calibri"/>
                <w:b w:val="0"/>
                <w:color w:val="333537"/>
                <w:sz w:val="13"/>
              </w:rPr>
              <w:t>ADR-036</w:t>
            </w:r>
          </w:p>
        </w:tc>
        <w:tc>
          <w:tcPr>
            <w:tcW w:type="dxa" w:w="5000"/>
            <w:vAlign w:val="center"/>
          </w:tcPr>
          <w:p>
            <w:pPr>
              <w:spacing w:after="0"/>
            </w:pPr>
            <w:r/>
            <w:r>
              <w:rPr>
                <w:rFonts w:ascii="Calibri" w:hAnsi="Calibri"/>
                <w:b w:val="0"/>
                <w:color w:val="333537"/>
                <w:sz w:val="13"/>
              </w:rPr>
              <w:t>ADR-036 — İptal edilebilir IPC istek yaşam döngüsü</w:t>
            </w:r>
          </w:p>
        </w:tc>
        <w:tc>
          <w:tcPr>
            <w:tcW w:type="dxa" w:w="3460"/>
            <w:vAlign w:val="center"/>
          </w:tcPr>
          <w:p>
            <w:pPr>
              <w:spacing w:after="0"/>
            </w:pPr>
            <w:r/>
            <w:r>
              <w:rPr>
                <w:rFonts w:ascii="Calibri" w:hAnsi="Calibri"/>
                <w:b w:val="0"/>
                <w:color w:val="333537"/>
                <w:sz w:val="13"/>
              </w:rPr>
              <w:t>docs/adr/ADR-036-cancellable-ipc-request-lifecycle.md</w:t>
            </w:r>
          </w:p>
        </w:tc>
      </w:tr>
      <w:tr>
        <w:tc>
          <w:tcPr>
            <w:tcW w:type="dxa" w:w="900"/>
            <w:vAlign w:val="center"/>
          </w:tcPr>
          <w:p>
            <w:pPr>
              <w:spacing w:after="0"/>
            </w:pPr>
            <w:r/>
            <w:r>
              <w:rPr>
                <w:rFonts w:ascii="Calibri" w:hAnsi="Calibri"/>
                <w:b w:val="0"/>
                <w:color w:val="333537"/>
                <w:sz w:val="13"/>
              </w:rPr>
              <w:t>ADR-037</w:t>
            </w:r>
          </w:p>
        </w:tc>
        <w:tc>
          <w:tcPr>
            <w:tcW w:type="dxa" w:w="5000"/>
            <w:vAlign w:val="center"/>
          </w:tcPr>
          <w:p>
            <w:pPr>
              <w:spacing w:after="0"/>
            </w:pPr>
            <w:r/>
            <w:r>
              <w:rPr>
                <w:rFonts w:ascii="Calibri" w:hAnsi="Calibri"/>
                <w:b w:val="0"/>
                <w:color w:val="333537"/>
                <w:sz w:val="13"/>
              </w:rPr>
              <w:t>ADR-037 — Revizyon kapsamlı IPC salt okuma paylaşımı</w:t>
            </w:r>
          </w:p>
        </w:tc>
        <w:tc>
          <w:tcPr>
            <w:tcW w:type="dxa" w:w="3460"/>
            <w:vAlign w:val="center"/>
          </w:tcPr>
          <w:p>
            <w:pPr>
              <w:spacing w:after="0"/>
            </w:pPr>
            <w:r/>
            <w:r>
              <w:rPr>
                <w:rFonts w:ascii="Calibri" w:hAnsi="Calibri"/>
                <w:b w:val="0"/>
                <w:color w:val="333537"/>
                <w:sz w:val="13"/>
              </w:rPr>
              <w:t>docs/adr/ADR-037-revision-scoped-ipc-read-sharing.md</w:t>
            </w:r>
          </w:p>
        </w:tc>
      </w:tr>
      <w:tr>
        <w:tc>
          <w:tcPr>
            <w:tcW w:type="dxa" w:w="900"/>
            <w:vAlign w:val="center"/>
          </w:tcPr>
          <w:p>
            <w:pPr>
              <w:spacing w:after="0"/>
            </w:pPr>
            <w:r/>
            <w:r>
              <w:rPr>
                <w:rFonts w:ascii="Calibri" w:hAnsi="Calibri"/>
                <w:b w:val="0"/>
                <w:color w:val="333537"/>
                <w:sz w:val="13"/>
              </w:rPr>
              <w:t>ADR-038</w:t>
            </w:r>
          </w:p>
        </w:tc>
        <w:tc>
          <w:tcPr>
            <w:tcW w:type="dxa" w:w="5000"/>
            <w:vAlign w:val="center"/>
          </w:tcPr>
          <w:p>
            <w:pPr>
              <w:spacing w:after="0"/>
            </w:pPr>
            <w:r/>
            <w:r>
              <w:rPr>
                <w:rFonts w:ascii="Calibri" w:hAnsi="Calibri"/>
                <w:b w:val="0"/>
                <w:color w:val="333537"/>
                <w:sz w:val="13"/>
              </w:rPr>
              <w:t>ADR-038 — Gizlilik Güvenli IPC Performans Telemetrisi</w:t>
            </w:r>
          </w:p>
        </w:tc>
        <w:tc>
          <w:tcPr>
            <w:tcW w:type="dxa" w:w="3460"/>
            <w:vAlign w:val="center"/>
          </w:tcPr>
          <w:p>
            <w:pPr>
              <w:spacing w:after="0"/>
            </w:pPr>
            <w:r/>
            <w:r>
              <w:rPr>
                <w:rFonts w:ascii="Calibri" w:hAnsi="Calibri"/>
                <w:b w:val="0"/>
                <w:color w:val="333537"/>
                <w:sz w:val="13"/>
              </w:rPr>
              <w:t>docs/adr/ADR-038-privacy-safe-ipc-performance-telemetry.md</w:t>
            </w:r>
          </w:p>
        </w:tc>
      </w:tr>
      <w:tr>
        <w:tc>
          <w:tcPr>
            <w:tcW w:type="dxa" w:w="900"/>
            <w:vAlign w:val="center"/>
          </w:tcPr>
          <w:p>
            <w:pPr>
              <w:spacing w:after="0"/>
            </w:pPr>
            <w:r/>
            <w:r>
              <w:rPr>
                <w:rFonts w:ascii="Calibri" w:hAnsi="Calibri"/>
                <w:b w:val="0"/>
                <w:color w:val="333537"/>
                <w:sz w:val="13"/>
              </w:rPr>
              <w:t>ADR-039</w:t>
            </w:r>
          </w:p>
        </w:tc>
        <w:tc>
          <w:tcPr>
            <w:tcW w:type="dxa" w:w="5000"/>
            <w:vAlign w:val="center"/>
          </w:tcPr>
          <w:p>
            <w:pPr>
              <w:spacing w:after="0"/>
            </w:pPr>
            <w:r/>
            <w:r>
              <w:rPr>
                <w:rFonts w:ascii="Calibri" w:hAnsi="Calibri"/>
                <w:b w:val="0"/>
                <w:color w:val="333537"/>
                <w:sz w:val="13"/>
              </w:rPr>
              <w:t>ADR-039 — Adaptif IPC bakımında güçlü yeniden doğrulama</w:t>
            </w:r>
          </w:p>
        </w:tc>
        <w:tc>
          <w:tcPr>
            <w:tcW w:type="dxa" w:w="3460"/>
            <w:vAlign w:val="center"/>
          </w:tcPr>
          <w:p>
            <w:pPr>
              <w:spacing w:after="0"/>
            </w:pPr>
            <w:r/>
            <w:r>
              <w:rPr>
                <w:rFonts w:ascii="Calibri" w:hAnsi="Calibri"/>
                <w:b w:val="0"/>
                <w:color w:val="333537"/>
                <w:sz w:val="13"/>
              </w:rPr>
              <w:t>docs/adr/ADR-039-adaptive-ipc-maintenance-strong-reauthentication.md</w:t>
            </w:r>
          </w:p>
        </w:tc>
      </w:tr>
      <w:tr>
        <w:tc>
          <w:tcPr>
            <w:tcW w:type="dxa" w:w="900"/>
            <w:vAlign w:val="center"/>
          </w:tcPr>
          <w:p>
            <w:pPr>
              <w:spacing w:after="0"/>
            </w:pPr>
            <w:r/>
            <w:r>
              <w:rPr>
                <w:rFonts w:ascii="Calibri" w:hAnsi="Calibri"/>
                <w:b w:val="0"/>
                <w:color w:val="333537"/>
                <w:sz w:val="13"/>
              </w:rPr>
              <w:t>ADR-039</w:t>
            </w:r>
          </w:p>
        </w:tc>
        <w:tc>
          <w:tcPr>
            <w:tcW w:type="dxa" w:w="5000"/>
            <w:vAlign w:val="center"/>
          </w:tcPr>
          <w:p>
            <w:pPr>
              <w:spacing w:after="0"/>
            </w:pPr>
            <w:r/>
            <w:r>
              <w:rPr>
                <w:rFonts w:ascii="Calibri" w:hAnsi="Calibri"/>
                <w:b w:val="0"/>
                <w:color w:val="333537"/>
                <w:sz w:val="13"/>
              </w:rPr>
              <w:t>ADR-039 — Fail-Closed Adaptif IPC Kaynak Bütçeleri</w:t>
            </w:r>
          </w:p>
        </w:tc>
        <w:tc>
          <w:tcPr>
            <w:tcW w:type="dxa" w:w="3460"/>
            <w:vAlign w:val="center"/>
          </w:tcPr>
          <w:p>
            <w:pPr>
              <w:spacing w:after="0"/>
            </w:pPr>
            <w:r/>
            <w:r>
              <w:rPr>
                <w:rFonts w:ascii="Calibri" w:hAnsi="Calibri"/>
                <w:b w:val="0"/>
                <w:color w:val="333537"/>
                <w:sz w:val="13"/>
              </w:rPr>
              <w:t>docs/adr/ADR-039-fail-closed-adaptive-ipc-resource-budgets.md</w:t>
            </w:r>
          </w:p>
        </w:tc>
      </w:tr>
      <w:tr>
        <w:tc>
          <w:tcPr>
            <w:tcW w:type="dxa" w:w="900"/>
            <w:vAlign w:val="center"/>
          </w:tcPr>
          <w:p>
            <w:pPr>
              <w:spacing w:after="0"/>
            </w:pPr>
            <w:r/>
            <w:r>
              <w:rPr>
                <w:rFonts w:ascii="Calibri" w:hAnsi="Calibri"/>
                <w:b w:val="0"/>
                <w:color w:val="333537"/>
                <w:sz w:val="13"/>
              </w:rPr>
              <w:t>ADR-040</w:t>
            </w:r>
          </w:p>
        </w:tc>
        <w:tc>
          <w:tcPr>
            <w:tcW w:type="dxa" w:w="5000"/>
            <w:vAlign w:val="center"/>
          </w:tcPr>
          <w:p>
            <w:pPr>
              <w:spacing w:after="0"/>
            </w:pPr>
            <w:r/>
            <w:r>
              <w:rPr>
                <w:rFonts w:ascii="Calibri" w:hAnsi="Calibri"/>
                <w:b w:val="0"/>
                <w:color w:val="333537"/>
                <w:sz w:val="13"/>
              </w:rPr>
              <w:t>ADR-040 — Crash-Safe Adaptive Budget State and Tamper-Evident Decision Journal</w:t>
            </w:r>
          </w:p>
        </w:tc>
        <w:tc>
          <w:tcPr>
            <w:tcW w:type="dxa" w:w="3460"/>
            <w:vAlign w:val="center"/>
          </w:tcPr>
          <w:p>
            <w:pPr>
              <w:spacing w:after="0"/>
            </w:pPr>
            <w:r/>
            <w:r>
              <w:rPr>
                <w:rFonts w:ascii="Calibri" w:hAnsi="Calibri"/>
                <w:b w:val="0"/>
                <w:color w:val="333537"/>
                <w:sz w:val="13"/>
              </w:rPr>
              <w:t>docs/adr/ADR-040-crash-safe-adaptive-budget-state-and-decision-journal.md</w:t>
            </w:r>
          </w:p>
        </w:tc>
      </w:tr>
      <w:tr>
        <w:tc>
          <w:tcPr>
            <w:tcW w:type="dxa" w:w="900"/>
            <w:vAlign w:val="center"/>
          </w:tcPr>
          <w:p>
            <w:pPr>
              <w:spacing w:after="0"/>
            </w:pPr>
            <w:r/>
            <w:r>
              <w:rPr>
                <w:rFonts w:ascii="Calibri" w:hAnsi="Calibri"/>
                <w:b w:val="0"/>
                <w:color w:val="333537"/>
                <w:sz w:val="13"/>
              </w:rPr>
              <w:t>ADR-041</w:t>
            </w:r>
          </w:p>
        </w:tc>
        <w:tc>
          <w:tcPr>
            <w:tcW w:type="dxa" w:w="5000"/>
            <w:vAlign w:val="center"/>
          </w:tcPr>
          <w:p>
            <w:pPr>
              <w:spacing w:after="0"/>
            </w:pPr>
            <w:r/>
            <w:r>
              <w:rPr>
                <w:rFonts w:ascii="Calibri" w:hAnsi="Calibri"/>
                <w:b w:val="0"/>
                <w:color w:val="333537"/>
                <w:sz w:val="13"/>
              </w:rPr>
              <w:t>ADR-041 — Yetkili Adaptif Bütçe Sıfırlama ve Gizlilik Güvenli Tanı Paketi</w:t>
            </w:r>
          </w:p>
        </w:tc>
        <w:tc>
          <w:tcPr>
            <w:tcW w:type="dxa" w:w="3460"/>
            <w:vAlign w:val="center"/>
          </w:tcPr>
          <w:p>
            <w:pPr>
              <w:spacing w:after="0"/>
            </w:pPr>
            <w:r/>
            <w:r>
              <w:rPr>
                <w:rFonts w:ascii="Calibri" w:hAnsi="Calibri"/>
                <w:b w:val="0"/>
                <w:color w:val="333537"/>
                <w:sz w:val="13"/>
              </w:rPr>
              <w:t>docs/adr/ADR-041-authenticated-adaptive-budget-reset-and-privacy-safe-diagnostics.md</w:t>
            </w:r>
          </w:p>
        </w:tc>
      </w:tr>
      <w:tr>
        <w:tc>
          <w:tcPr>
            <w:tcW w:type="dxa" w:w="900"/>
            <w:vAlign w:val="center"/>
          </w:tcPr>
          <w:p>
            <w:pPr>
              <w:spacing w:after="0"/>
            </w:pPr>
            <w:r/>
            <w:r>
              <w:rPr>
                <w:rFonts w:ascii="Calibri" w:hAnsi="Calibri"/>
                <w:b w:val="0"/>
                <w:color w:val="333537"/>
                <w:sz w:val="13"/>
              </w:rPr>
              <w:t>ADR-042</w:t>
            </w:r>
          </w:p>
        </w:tc>
        <w:tc>
          <w:tcPr>
            <w:tcW w:type="dxa" w:w="5000"/>
            <w:vAlign w:val="center"/>
          </w:tcPr>
          <w:p>
            <w:pPr>
              <w:spacing w:after="0"/>
            </w:pPr>
            <w:r/>
            <w:r>
              <w:rPr>
                <w:rFonts w:ascii="Calibri" w:hAnsi="Calibri"/>
                <w:b w:val="0"/>
                <w:color w:val="333537"/>
                <w:sz w:val="13"/>
              </w:rPr>
              <w:t>ADR-042 — Tek Kullanımlık Adaptif Bütçe Bakım Oturumları</w:t>
            </w:r>
          </w:p>
        </w:tc>
        <w:tc>
          <w:tcPr>
            <w:tcW w:type="dxa" w:w="3460"/>
            <w:vAlign w:val="center"/>
          </w:tcPr>
          <w:p>
            <w:pPr>
              <w:spacing w:after="0"/>
            </w:pPr>
            <w:r/>
            <w:r>
              <w:rPr>
                <w:rFonts w:ascii="Calibri" w:hAnsi="Calibri"/>
                <w:b w:val="0"/>
                <w:color w:val="333537"/>
                <w:sz w:val="13"/>
              </w:rPr>
              <w:t>docs/adr/ADR-042-single-use-adaptive-budget-maintenance-sessions.md</w:t>
            </w:r>
          </w:p>
        </w:tc>
      </w:tr>
      <w:tr>
        <w:tc>
          <w:tcPr>
            <w:tcW w:type="dxa" w:w="900"/>
            <w:vAlign w:val="center"/>
          </w:tcPr>
          <w:p>
            <w:pPr>
              <w:spacing w:after="0"/>
            </w:pPr>
            <w:r/>
            <w:r>
              <w:rPr>
                <w:rFonts w:ascii="Calibri" w:hAnsi="Calibri"/>
                <w:b w:val="0"/>
                <w:color w:val="333537"/>
                <w:sz w:val="13"/>
              </w:rPr>
              <w:t>ADR-043</w:t>
            </w:r>
          </w:p>
        </w:tc>
        <w:tc>
          <w:tcPr>
            <w:tcW w:type="dxa" w:w="5000"/>
            <w:vAlign w:val="center"/>
          </w:tcPr>
          <w:p>
            <w:pPr>
              <w:spacing w:after="0"/>
            </w:pPr>
            <w:r/>
            <w:r>
              <w:rPr>
                <w:rFonts w:ascii="Calibri" w:hAnsi="Calibri"/>
                <w:b w:val="0"/>
                <w:color w:val="333537"/>
                <w:sz w:val="13"/>
              </w:rPr>
              <w:t>ADR-043 — Adaptif IPC bakım yeniden doğrulamasında sınırlı deneme ve geçici kilit</w:t>
            </w:r>
          </w:p>
        </w:tc>
        <w:tc>
          <w:tcPr>
            <w:tcW w:type="dxa" w:w="3460"/>
            <w:vAlign w:val="center"/>
          </w:tcPr>
          <w:p>
            <w:pPr>
              <w:spacing w:after="0"/>
            </w:pPr>
            <w:r/>
            <w:r>
              <w:rPr>
                <w:rFonts w:ascii="Calibri" w:hAnsi="Calibri"/>
                <w:b w:val="0"/>
                <w:color w:val="333537"/>
                <w:sz w:val="13"/>
              </w:rPr>
              <w:t>docs/adr/ADR-043-bounded-maintenance-reauthentication-attempts.md</w:t>
            </w:r>
          </w:p>
        </w:tc>
      </w:tr>
      <w:tr>
        <w:tc>
          <w:tcPr>
            <w:tcW w:type="dxa" w:w="900"/>
            <w:vAlign w:val="center"/>
          </w:tcPr>
          <w:p>
            <w:pPr>
              <w:spacing w:after="0"/>
            </w:pPr>
            <w:r/>
            <w:r>
              <w:rPr>
                <w:rFonts w:ascii="Calibri" w:hAnsi="Calibri"/>
                <w:b w:val="0"/>
                <w:color w:val="333537"/>
                <w:sz w:val="13"/>
              </w:rPr>
              <w:t>ADR-044</w:t>
            </w:r>
          </w:p>
        </w:tc>
        <w:tc>
          <w:tcPr>
            <w:tcW w:type="dxa" w:w="5000"/>
            <w:vAlign w:val="center"/>
          </w:tcPr>
          <w:p>
            <w:pPr>
              <w:spacing w:after="0"/>
            </w:pPr>
            <w:r/>
            <w:r>
              <w:rPr>
                <w:rFonts w:ascii="Calibri" w:hAnsi="Calibri"/>
                <w:b w:val="0"/>
                <w:color w:val="333537"/>
                <w:sz w:val="13"/>
              </w:rPr>
              <w:t>ADR-044 — Bakım yeniden doğrulama kilidinin işletim sistemi korumasıyla kalıcılaştırılması</w:t>
            </w:r>
          </w:p>
        </w:tc>
        <w:tc>
          <w:tcPr>
            <w:tcW w:type="dxa" w:w="3460"/>
            <w:vAlign w:val="center"/>
          </w:tcPr>
          <w:p>
            <w:pPr>
              <w:spacing w:after="0"/>
            </w:pPr>
            <w:r/>
            <w:r>
              <w:rPr>
                <w:rFonts w:ascii="Calibri" w:hAnsi="Calibri"/>
                <w:b w:val="0"/>
                <w:color w:val="333537"/>
                <w:sz w:val="13"/>
              </w:rPr>
              <w:t>docs/adr/ADR-044-os-protected-maintenance-reauthentication-state.md</w:t>
            </w:r>
          </w:p>
        </w:tc>
      </w:tr>
      <w:tr>
        <w:tc>
          <w:tcPr>
            <w:tcW w:type="dxa" w:w="900"/>
            <w:vAlign w:val="center"/>
          </w:tcPr>
          <w:p>
            <w:pPr>
              <w:spacing w:after="0"/>
            </w:pPr>
            <w:r/>
            <w:r>
              <w:rPr>
                <w:rFonts w:ascii="Calibri" w:hAnsi="Calibri"/>
                <w:b w:val="0"/>
                <w:color w:val="333537"/>
                <w:sz w:val="13"/>
              </w:rPr>
              <w:t>ADR-045</w:t>
            </w:r>
          </w:p>
        </w:tc>
        <w:tc>
          <w:tcPr>
            <w:tcW w:type="dxa" w:w="5000"/>
            <w:vAlign w:val="center"/>
          </w:tcPr>
          <w:p>
            <w:pPr>
              <w:spacing w:after="0"/>
            </w:pPr>
            <w:r/>
            <w:r>
              <w:rPr>
                <w:rFonts w:ascii="Calibri" w:hAnsi="Calibri"/>
                <w:b w:val="0"/>
                <w:color w:val="333537"/>
                <w:sz w:val="13"/>
              </w:rPr>
              <w:t>ADR-045 — Cihaz bağlı bakım yeniden doğrulama durumu yaşam döngüsü</w:t>
            </w:r>
          </w:p>
        </w:tc>
        <w:tc>
          <w:tcPr>
            <w:tcW w:type="dxa" w:w="3460"/>
            <w:vAlign w:val="center"/>
          </w:tcPr>
          <w:p>
            <w:pPr>
              <w:spacing w:after="0"/>
            </w:pPr>
            <w:r/>
            <w:r>
              <w:rPr>
                <w:rFonts w:ascii="Calibri" w:hAnsi="Calibri"/>
                <w:b w:val="0"/>
                <w:color w:val="333537"/>
                <w:sz w:val="13"/>
              </w:rPr>
              <w:t>docs/adr/ADR-045-device-bound-maintenance-reauthentication-state-lifecycle.md</w:t>
            </w:r>
          </w:p>
        </w:tc>
      </w:tr>
      <w:tr>
        <w:tc>
          <w:tcPr>
            <w:tcW w:type="dxa" w:w="900"/>
            <w:vAlign w:val="center"/>
          </w:tcPr>
          <w:p>
            <w:pPr>
              <w:spacing w:after="0"/>
            </w:pPr>
            <w:r/>
            <w:r>
              <w:rPr>
                <w:rFonts w:ascii="Calibri" w:hAnsi="Calibri"/>
                <w:b w:val="0"/>
                <w:color w:val="333537"/>
                <w:sz w:val="13"/>
              </w:rPr>
              <w:t>ADR-046</w:t>
            </w:r>
          </w:p>
        </w:tc>
        <w:tc>
          <w:tcPr>
            <w:tcW w:type="dxa" w:w="5000"/>
            <w:vAlign w:val="center"/>
          </w:tcPr>
          <w:p>
            <w:pPr>
              <w:spacing w:after="0"/>
            </w:pPr>
            <w:r/>
            <w:r>
              <w:rPr>
                <w:rFonts w:ascii="Calibri" w:hAnsi="Calibri"/>
                <w:b w:val="0"/>
                <w:color w:val="333537"/>
                <w:sz w:val="13"/>
              </w:rPr>
              <w:t>ADR-046 — Yetkili bakım kilidi kurtarma</w:t>
            </w:r>
          </w:p>
        </w:tc>
        <w:tc>
          <w:tcPr>
            <w:tcW w:type="dxa" w:w="3460"/>
            <w:vAlign w:val="center"/>
          </w:tcPr>
          <w:p>
            <w:pPr>
              <w:spacing w:after="0"/>
            </w:pPr>
            <w:r/>
            <w:r>
              <w:rPr>
                <w:rFonts w:ascii="Calibri" w:hAnsi="Calibri"/>
                <w:b w:val="0"/>
                <w:color w:val="333537"/>
                <w:sz w:val="13"/>
              </w:rPr>
              <w:t>docs/adr/ADR-046-authorized-maintenance-lock-recovery.md</w:t>
            </w:r>
          </w:p>
        </w:tc>
      </w:tr>
      <w:tr>
        <w:tc>
          <w:tcPr>
            <w:tcW w:type="dxa" w:w="900"/>
            <w:vAlign w:val="center"/>
          </w:tcPr>
          <w:p>
            <w:pPr>
              <w:spacing w:after="0"/>
            </w:pPr>
            <w:r/>
            <w:r>
              <w:rPr>
                <w:rFonts w:ascii="Calibri" w:hAnsi="Calibri"/>
                <w:b w:val="0"/>
                <w:color w:val="333537"/>
                <w:sz w:val="13"/>
              </w:rPr>
              <w:t>ADR-047</w:t>
            </w:r>
          </w:p>
        </w:tc>
        <w:tc>
          <w:tcPr>
            <w:tcW w:type="dxa" w:w="5000"/>
            <w:vAlign w:val="center"/>
          </w:tcPr>
          <w:p>
            <w:pPr>
              <w:spacing w:after="0"/>
            </w:pPr>
            <w:r/>
            <w:r>
              <w:rPr>
                <w:rFonts w:ascii="Calibri" w:hAnsi="Calibri"/>
                <w:b w:val="0"/>
                <w:color w:val="333537"/>
                <w:sz w:val="13"/>
              </w:rPr>
              <w:t>ADR-047 — Kurtarma Sonrası Oturum Sonlandırma ve Soğuma Süresi</w:t>
            </w:r>
          </w:p>
        </w:tc>
        <w:tc>
          <w:tcPr>
            <w:tcW w:type="dxa" w:w="3460"/>
            <w:vAlign w:val="center"/>
          </w:tcPr>
          <w:p>
            <w:pPr>
              <w:spacing w:after="0"/>
            </w:pPr>
            <w:r/>
            <w:r>
              <w:rPr>
                <w:rFonts w:ascii="Calibri" w:hAnsi="Calibri"/>
                <w:b w:val="0"/>
                <w:color w:val="333537"/>
                <w:sz w:val="13"/>
              </w:rPr>
              <w:t>docs/adr/ADR-047-post-recovery-session-termination-and-cooldown.md</w:t>
            </w:r>
          </w:p>
        </w:tc>
      </w:tr>
      <w:tr>
        <w:tc>
          <w:tcPr>
            <w:tcW w:type="dxa" w:w="900"/>
            <w:vAlign w:val="center"/>
          </w:tcPr>
          <w:p>
            <w:pPr>
              <w:spacing w:after="0"/>
            </w:pPr>
            <w:r/>
            <w:r>
              <w:rPr>
                <w:rFonts w:ascii="Calibri" w:hAnsi="Calibri"/>
                <w:b w:val="0"/>
                <w:color w:val="333537"/>
                <w:sz w:val="13"/>
              </w:rPr>
              <w:t>ADR-048</w:t>
            </w:r>
          </w:p>
        </w:tc>
        <w:tc>
          <w:tcPr>
            <w:tcW w:type="dxa" w:w="5000"/>
            <w:vAlign w:val="center"/>
          </w:tcPr>
          <w:p>
            <w:pPr>
              <w:spacing w:after="0"/>
            </w:pPr>
            <w:r/>
            <w:r>
              <w:rPr>
                <w:rFonts w:ascii="Calibri" w:hAnsi="Calibri"/>
                <w:b w:val="0"/>
                <w:color w:val="333537"/>
                <w:sz w:val="13"/>
              </w:rPr>
              <w:t>ADR-048 — Bakım kurtarması sonrası hesap güvenlik dönemi</w:t>
            </w:r>
          </w:p>
        </w:tc>
        <w:tc>
          <w:tcPr>
            <w:tcW w:type="dxa" w:w="3460"/>
            <w:vAlign w:val="center"/>
          </w:tcPr>
          <w:p>
            <w:pPr>
              <w:spacing w:after="0"/>
            </w:pPr>
            <w:r/>
            <w:r>
              <w:rPr>
                <w:rFonts w:ascii="Calibri" w:hAnsi="Calibri"/>
                <w:b w:val="0"/>
                <w:color w:val="333537"/>
                <w:sz w:val="13"/>
              </w:rPr>
              <w:t>docs/adr/ADR-048-account-security-epoch-after-maintenance-recovery.md</w:t>
            </w:r>
          </w:p>
        </w:tc>
      </w:tr>
      <w:tr>
        <w:tc>
          <w:tcPr>
            <w:tcW w:type="dxa" w:w="900"/>
            <w:vAlign w:val="center"/>
          </w:tcPr>
          <w:p>
            <w:pPr>
              <w:spacing w:after="0"/>
            </w:pPr>
            <w:r/>
            <w:r>
              <w:rPr>
                <w:rFonts w:ascii="Calibri" w:hAnsi="Calibri"/>
                <w:b w:val="0"/>
                <w:color w:val="333537"/>
                <w:sz w:val="13"/>
              </w:rPr>
              <w:t>ADR-049</w:t>
            </w:r>
          </w:p>
        </w:tc>
        <w:tc>
          <w:tcPr>
            <w:tcW w:type="dxa" w:w="5000"/>
            <w:vAlign w:val="center"/>
          </w:tcPr>
          <w:p>
            <w:pPr>
              <w:spacing w:after="0"/>
            </w:pPr>
            <w:r/>
            <w:r>
              <w:rPr>
                <w:rFonts w:ascii="Calibri" w:hAnsi="Calibri"/>
                <w:b w:val="0"/>
                <w:color w:val="333537"/>
                <w:sz w:val="13"/>
              </w:rPr>
              <w:t>ADR-049 — Güvenlik Dönemine Bağlı Oturum, Cihaz Yeniden Yetkilendirme ve İmzalı Makbuz</w:t>
            </w:r>
          </w:p>
        </w:tc>
        <w:tc>
          <w:tcPr>
            <w:tcW w:type="dxa" w:w="3460"/>
            <w:vAlign w:val="center"/>
          </w:tcPr>
          <w:p>
            <w:pPr>
              <w:spacing w:after="0"/>
            </w:pPr>
            <w:r/>
            <w:r>
              <w:rPr>
                <w:rFonts w:ascii="Calibri" w:hAnsi="Calibri"/>
                <w:b w:val="0"/>
                <w:color w:val="333537"/>
                <w:sz w:val="13"/>
              </w:rPr>
              <w:t>docs/adr/ADR-049-epoch-bound-session-device-reauthorization-receipts.md</w:t>
            </w:r>
          </w:p>
        </w:tc>
      </w:tr>
      <w:tr>
        <w:tc>
          <w:tcPr>
            <w:tcW w:type="dxa" w:w="900"/>
            <w:vAlign w:val="center"/>
          </w:tcPr>
          <w:p>
            <w:pPr>
              <w:spacing w:after="0"/>
            </w:pPr>
            <w:r/>
            <w:r>
              <w:rPr>
                <w:rFonts w:ascii="Calibri" w:hAnsi="Calibri"/>
                <w:b w:val="0"/>
                <w:color w:val="333537"/>
                <w:sz w:val="13"/>
              </w:rPr>
              <w:t>ADR-050</w:t>
            </w:r>
          </w:p>
        </w:tc>
        <w:tc>
          <w:tcPr>
            <w:tcW w:type="dxa" w:w="5000"/>
            <w:vAlign w:val="center"/>
          </w:tcPr>
          <w:p>
            <w:pPr>
              <w:spacing w:after="0"/>
            </w:pPr>
            <w:r/>
            <w:r>
              <w:rPr>
                <w:rFonts w:ascii="Calibri" w:hAnsi="Calibri"/>
                <w:b w:val="0"/>
                <w:color w:val="333537"/>
                <w:sz w:val="13"/>
              </w:rPr>
              <w:t>ADR-050 — Ayrı Güvenlik Merkezi Menüsü ve Renderer Bileşen Sınırı</w:t>
            </w:r>
          </w:p>
        </w:tc>
        <w:tc>
          <w:tcPr>
            <w:tcW w:type="dxa" w:w="3460"/>
            <w:vAlign w:val="center"/>
          </w:tcPr>
          <w:p>
            <w:pPr>
              <w:spacing w:after="0"/>
            </w:pPr>
            <w:r/>
            <w:r>
              <w:rPr>
                <w:rFonts w:ascii="Calibri" w:hAnsi="Calibri"/>
                <w:b w:val="0"/>
                <w:color w:val="333537"/>
                <w:sz w:val="13"/>
              </w:rPr>
              <w:t>docs/adr/ADR-050-dedicated-security-center-menu-and-renderer-boundary.md</w:t>
            </w:r>
          </w:p>
        </w:tc>
      </w:tr>
      <w:tr>
        <w:tc>
          <w:tcPr>
            <w:tcW w:type="dxa" w:w="900"/>
            <w:vAlign w:val="center"/>
          </w:tcPr>
          <w:p>
            <w:pPr>
              <w:spacing w:after="0"/>
            </w:pPr>
            <w:r/>
            <w:r>
              <w:rPr>
                <w:rFonts w:ascii="Calibri" w:hAnsi="Calibri"/>
                <w:b w:val="0"/>
                <w:color w:val="333537"/>
                <w:sz w:val="13"/>
              </w:rPr>
              <w:t>ADR-051</w:t>
            </w:r>
          </w:p>
        </w:tc>
        <w:tc>
          <w:tcPr>
            <w:tcW w:type="dxa" w:w="5000"/>
            <w:vAlign w:val="center"/>
          </w:tcPr>
          <w:p>
            <w:pPr>
              <w:spacing w:after="0"/>
            </w:pPr>
            <w:r/>
            <w:r>
              <w:rPr>
                <w:rFonts w:ascii="Calibri" w:hAnsi="Calibri"/>
                <w:b w:val="0"/>
                <w:color w:val="333537"/>
                <w:sz w:val="13"/>
              </w:rPr>
              <w:t>ADR-051 — Kalıcı İmzalı Güvenlik Makbuzu Geçmişi</w:t>
            </w:r>
          </w:p>
        </w:tc>
        <w:tc>
          <w:tcPr>
            <w:tcW w:type="dxa" w:w="3460"/>
            <w:vAlign w:val="center"/>
          </w:tcPr>
          <w:p>
            <w:pPr>
              <w:spacing w:after="0"/>
            </w:pPr>
            <w:r/>
            <w:r>
              <w:rPr>
                <w:rFonts w:ascii="Calibri" w:hAnsi="Calibri"/>
                <w:b w:val="0"/>
                <w:color w:val="333537"/>
                <w:sz w:val="13"/>
              </w:rPr>
              <w:t>docs/adr/ADR-051-persistent-signed-security-receipt-history.md</w:t>
            </w:r>
          </w:p>
        </w:tc>
      </w:tr>
      <w:tr>
        <w:tc>
          <w:tcPr>
            <w:tcW w:type="dxa" w:w="900"/>
            <w:vAlign w:val="center"/>
          </w:tcPr>
          <w:p>
            <w:pPr>
              <w:spacing w:after="0"/>
            </w:pPr>
            <w:r/>
            <w:r>
              <w:rPr>
                <w:rFonts w:ascii="Calibri" w:hAnsi="Calibri"/>
                <w:b w:val="0"/>
                <w:color w:val="333537"/>
                <w:sz w:val="13"/>
              </w:rPr>
              <w:t>ADR-052</w:t>
            </w:r>
          </w:p>
        </w:tc>
        <w:tc>
          <w:tcPr>
            <w:tcW w:type="dxa" w:w="5000"/>
            <w:vAlign w:val="center"/>
          </w:tcPr>
          <w:p>
            <w:pPr>
              <w:spacing w:after="0"/>
            </w:pPr>
            <w:r/>
            <w:r>
              <w:rPr>
                <w:rFonts w:ascii="Calibri" w:hAnsi="Calibri"/>
                <w:b w:val="0"/>
                <w:color w:val="333537"/>
                <w:sz w:val="13"/>
              </w:rPr>
              <w:t>ADR-052 — Sürüm kanalı menü rengi ve aile yakınlık kataloğu</w:t>
            </w:r>
          </w:p>
        </w:tc>
        <w:tc>
          <w:tcPr>
            <w:tcW w:type="dxa" w:w="3460"/>
            <w:vAlign w:val="center"/>
          </w:tcPr>
          <w:p>
            <w:pPr>
              <w:spacing w:after="0"/>
            </w:pPr>
            <w:r/>
            <w:r>
              <w:rPr>
                <w:rFonts w:ascii="Calibri" w:hAnsi="Calibri"/>
                <w:b w:val="0"/>
                <w:color w:val="333537"/>
                <w:sz w:val="13"/>
              </w:rPr>
              <w:t>docs/adr/ADR-052-release-channel-menu-color-and-family-relationship-catalog.md</w:t>
            </w:r>
          </w:p>
        </w:tc>
      </w:tr>
      <w:tr>
        <w:tc>
          <w:tcPr>
            <w:tcW w:type="dxa" w:w="900"/>
            <w:vAlign w:val="center"/>
          </w:tcPr>
          <w:p>
            <w:pPr>
              <w:spacing w:after="0"/>
            </w:pPr>
            <w:r/>
            <w:r>
              <w:rPr>
                <w:rFonts w:ascii="Calibri" w:hAnsi="Calibri"/>
                <w:b w:val="0"/>
                <w:color w:val="333537"/>
                <w:sz w:val="13"/>
              </w:rPr>
              <w:t>ADR-053</w:t>
            </w:r>
          </w:p>
        </w:tc>
        <w:tc>
          <w:tcPr>
            <w:tcW w:type="dxa" w:w="5000"/>
            <w:vAlign w:val="center"/>
          </w:tcPr>
          <w:p>
            <w:pPr>
              <w:spacing w:after="0"/>
            </w:pPr>
            <w:r/>
            <w:r>
              <w:rPr>
                <w:rFonts w:ascii="Calibri" w:hAnsi="Calibri"/>
                <w:b w:val="0"/>
                <w:color w:val="333537"/>
                <w:sz w:val="13"/>
              </w:rPr>
              <w:t>ADR-053 — Katı Bronze geliştirme ve ağır API erteleme yönetişimi</w:t>
            </w:r>
          </w:p>
        </w:tc>
        <w:tc>
          <w:tcPr>
            <w:tcW w:type="dxa" w:w="3460"/>
            <w:vAlign w:val="center"/>
          </w:tcPr>
          <w:p>
            <w:pPr>
              <w:spacing w:after="0"/>
            </w:pPr>
            <w:r/>
            <w:r>
              <w:rPr>
                <w:rFonts w:ascii="Calibri" w:hAnsi="Calibri"/>
                <w:b w:val="0"/>
                <w:color w:val="333537"/>
                <w:sz w:val="13"/>
              </w:rPr>
              <w:t>docs/adr/ADR-053-strict-bronze-development-and-api-deferral-governance.md</w:t>
            </w:r>
          </w:p>
        </w:tc>
      </w:tr>
      <w:tr>
        <w:tc>
          <w:tcPr>
            <w:tcW w:type="dxa" w:w="900"/>
            <w:vAlign w:val="center"/>
          </w:tcPr>
          <w:p>
            <w:pPr>
              <w:spacing w:after="0"/>
            </w:pPr>
            <w:r/>
            <w:r>
              <w:rPr>
                <w:rFonts w:ascii="Calibri" w:hAnsi="Calibri"/>
                <w:b w:val="0"/>
                <w:color w:val="333537"/>
                <w:sz w:val="13"/>
              </w:rPr>
              <w:t>ADR-054</w:t>
            </w:r>
          </w:p>
        </w:tc>
        <w:tc>
          <w:tcPr>
            <w:tcW w:type="dxa" w:w="5000"/>
            <w:vAlign w:val="center"/>
          </w:tcPr>
          <w:p>
            <w:pPr>
              <w:spacing w:after="0"/>
            </w:pPr>
            <w:r/>
            <w:r>
              <w:rPr>
                <w:rFonts w:ascii="Calibri" w:hAnsi="Calibri"/>
                <w:b w:val="0"/>
                <w:color w:val="333537"/>
                <w:sz w:val="13"/>
              </w:rPr>
              <w:t>ADR-054 — Korumalı periyodik iptal listesi eşitleme durumu</w:t>
            </w:r>
          </w:p>
        </w:tc>
        <w:tc>
          <w:tcPr>
            <w:tcW w:type="dxa" w:w="3460"/>
            <w:vAlign w:val="center"/>
          </w:tcPr>
          <w:p>
            <w:pPr>
              <w:spacing w:after="0"/>
            </w:pPr>
            <w:r/>
            <w:r>
              <w:rPr>
                <w:rFonts w:ascii="Calibri" w:hAnsi="Calibri"/>
                <w:b w:val="0"/>
                <w:color w:val="333537"/>
                <w:sz w:val="13"/>
              </w:rPr>
              <w:t>docs/adr/ADR-054-protected-periodic-revocation-sync-state.md</w:t>
            </w:r>
          </w:p>
        </w:tc>
      </w:tr>
      <w:tr>
        <w:tc>
          <w:tcPr>
            <w:tcW w:type="dxa" w:w="900"/>
            <w:vAlign w:val="center"/>
          </w:tcPr>
          <w:p>
            <w:pPr>
              <w:spacing w:after="0"/>
            </w:pPr>
            <w:r/>
            <w:r>
              <w:rPr>
                <w:rFonts w:ascii="Calibri" w:hAnsi="Calibri"/>
                <w:b w:val="0"/>
                <w:color w:val="333537"/>
                <w:sz w:val="13"/>
              </w:rPr>
              <w:t>ADR-055</w:t>
            </w:r>
          </w:p>
        </w:tc>
        <w:tc>
          <w:tcPr>
            <w:tcW w:type="dxa" w:w="5000"/>
            <w:vAlign w:val="center"/>
          </w:tcPr>
          <w:p>
            <w:pPr>
              <w:spacing w:after="0"/>
            </w:pPr>
            <w:r/>
            <w:r>
              <w:rPr>
                <w:rFonts w:ascii="Calibri" w:hAnsi="Calibri"/>
                <w:b w:val="0"/>
                <w:color w:val="333537"/>
                <w:sz w:val="13"/>
              </w:rPr>
              <w:t>ADR-055 — Kurum Dışı Çift Kanıtlı Kök Güven Doğrulaması</w:t>
            </w:r>
          </w:p>
        </w:tc>
        <w:tc>
          <w:tcPr>
            <w:tcW w:type="dxa" w:w="3460"/>
            <w:vAlign w:val="center"/>
          </w:tcPr>
          <w:p>
            <w:pPr>
              <w:spacing w:after="0"/>
            </w:pPr>
            <w:r/>
            <w:r>
              <w:rPr>
                <w:rFonts w:ascii="Calibri" w:hAnsi="Calibri"/>
                <w:b w:val="0"/>
                <w:color w:val="333537"/>
                <w:sz w:val="13"/>
              </w:rPr>
              <w:t>docs/adr/ADR-055-out-of-band-dual-evidence-root-trust-verification.md</w:t>
            </w:r>
          </w:p>
        </w:tc>
      </w:tr>
      <w:tr>
        <w:tc>
          <w:tcPr>
            <w:tcW w:type="dxa" w:w="900"/>
            <w:vAlign w:val="center"/>
          </w:tcPr>
          <w:p>
            <w:pPr>
              <w:spacing w:after="0"/>
            </w:pPr>
            <w:r/>
            <w:r>
              <w:rPr>
                <w:rFonts w:ascii="Calibri" w:hAnsi="Calibri"/>
                <w:b w:val="0"/>
                <w:color w:val="333537"/>
                <w:sz w:val="13"/>
              </w:rPr>
              <w:t>ADR-056</w:t>
            </w:r>
          </w:p>
        </w:tc>
        <w:tc>
          <w:tcPr>
            <w:tcW w:type="dxa" w:w="5000"/>
            <w:vAlign w:val="center"/>
          </w:tcPr>
          <w:p>
            <w:pPr>
              <w:spacing w:after="0"/>
            </w:pPr>
            <w:r/>
            <w:r>
              <w:rPr>
                <w:rFonts w:ascii="Calibri" w:hAnsi="Calibri"/>
                <w:b w:val="0"/>
                <w:color w:val="333537"/>
                <w:sz w:val="13"/>
              </w:rPr>
              <w:t>ADR-056 — Otomatik Temiz Yedek Yeniden Yazımı ve Karantina</w:t>
            </w:r>
          </w:p>
        </w:tc>
        <w:tc>
          <w:tcPr>
            <w:tcW w:type="dxa" w:w="3460"/>
            <w:vAlign w:val="center"/>
          </w:tcPr>
          <w:p>
            <w:pPr>
              <w:spacing w:after="0"/>
            </w:pPr>
            <w:r/>
            <w:r>
              <w:rPr>
                <w:rFonts w:ascii="Calibri" w:hAnsi="Calibri"/>
                <w:b w:val="0"/>
                <w:color w:val="333537"/>
                <w:sz w:val="13"/>
              </w:rPr>
              <w:t>docs/adr/ADR-056-automatic-clean-backup-rewrite-and-quarantine.md</w:t>
            </w:r>
          </w:p>
        </w:tc>
      </w:tr>
      <w:tr>
        <w:tc>
          <w:tcPr>
            <w:tcW w:type="dxa" w:w="900"/>
            <w:vAlign w:val="center"/>
          </w:tcPr>
          <w:p>
            <w:pPr>
              <w:spacing w:after="0"/>
            </w:pPr>
            <w:r/>
            <w:r>
              <w:rPr>
                <w:rFonts w:ascii="Calibri" w:hAnsi="Calibri"/>
                <w:b w:val="0"/>
                <w:color w:val="333537"/>
                <w:sz w:val="13"/>
              </w:rPr>
              <w:t>ADR-057</w:t>
            </w:r>
          </w:p>
        </w:tc>
        <w:tc>
          <w:tcPr>
            <w:tcW w:type="dxa" w:w="5000"/>
            <w:vAlign w:val="center"/>
          </w:tcPr>
          <w:p>
            <w:pPr>
              <w:spacing w:after="0"/>
            </w:pPr>
            <w:r/>
            <w:r>
              <w:rPr>
                <w:rFonts w:ascii="Calibri" w:hAnsi="Calibri"/>
                <w:b w:val="0"/>
                <w:color w:val="333537"/>
                <w:sz w:val="13"/>
              </w:rPr>
              <w:t>ADR-057 — Atomik Temiz Yedek Sonuçlandırma ve Kalıcı Çalışma Defteri</w:t>
            </w:r>
          </w:p>
        </w:tc>
        <w:tc>
          <w:tcPr>
            <w:tcW w:type="dxa" w:w="3460"/>
            <w:vAlign w:val="center"/>
          </w:tcPr>
          <w:p>
            <w:pPr>
              <w:spacing w:after="0"/>
            </w:pPr>
            <w:r/>
            <w:r>
              <w:rPr>
                <w:rFonts w:ascii="Calibri" w:hAnsi="Calibri"/>
                <w:b w:val="0"/>
                <w:color w:val="333537"/>
                <w:sz w:val="13"/>
              </w:rPr>
              <w:t>docs/adr/ADR-057-atomic-clean-backup-rewrite-finalization-ledger.md</w:t>
            </w:r>
          </w:p>
        </w:tc>
      </w:tr>
      <w:tr>
        <w:tc>
          <w:tcPr>
            <w:tcW w:type="dxa" w:w="900"/>
            <w:vAlign w:val="center"/>
          </w:tcPr>
          <w:p>
            <w:pPr>
              <w:spacing w:after="0"/>
            </w:pPr>
            <w:r/>
            <w:r>
              <w:rPr>
                <w:rFonts w:ascii="Calibri" w:hAnsi="Calibri"/>
                <w:b w:val="0"/>
                <w:color w:val="333537"/>
                <w:sz w:val="13"/>
              </w:rPr>
              <w:t>ADR-058</w:t>
            </w:r>
          </w:p>
        </w:tc>
        <w:tc>
          <w:tcPr>
            <w:tcW w:type="dxa" w:w="5000"/>
            <w:vAlign w:val="center"/>
          </w:tcPr>
          <w:p>
            <w:pPr>
              <w:spacing w:after="0"/>
            </w:pPr>
            <w:r/>
            <w:r>
              <w:rPr>
                <w:rFonts w:ascii="Calibri" w:hAnsi="Calibri"/>
                <w:b w:val="0"/>
                <w:color w:val="333537"/>
                <w:sz w:val="13"/>
              </w:rPr>
              <w:t>ADR-058 — Monotonik Yönetilen Yedek Yayılım Kronolojisi</w:t>
            </w:r>
          </w:p>
        </w:tc>
        <w:tc>
          <w:tcPr>
            <w:tcW w:type="dxa" w:w="3460"/>
            <w:vAlign w:val="center"/>
          </w:tcPr>
          <w:p>
            <w:pPr>
              <w:spacing w:after="0"/>
            </w:pPr>
            <w:r/>
            <w:r>
              <w:rPr>
                <w:rFonts w:ascii="Calibri" w:hAnsi="Calibri"/>
                <w:b w:val="0"/>
                <w:color w:val="333537"/>
                <w:sz w:val="13"/>
              </w:rPr>
              <w:t>docs/adr/ADR-058-monotonic-managed-backup-propagation-chronology.md</w:t>
            </w:r>
          </w:p>
        </w:tc>
      </w:tr>
      <w:tr>
        <w:tc>
          <w:tcPr>
            <w:tcW w:type="dxa" w:w="900"/>
            <w:vAlign w:val="center"/>
          </w:tcPr>
          <w:p>
            <w:pPr>
              <w:spacing w:after="0"/>
            </w:pPr>
            <w:r/>
            <w:r>
              <w:rPr>
                <w:rFonts w:ascii="Calibri" w:hAnsi="Calibri"/>
                <w:b w:val="0"/>
                <w:color w:val="333537"/>
                <w:sz w:val="13"/>
              </w:rPr>
              <w:t>ADR-059</w:t>
            </w:r>
          </w:p>
        </w:tc>
        <w:tc>
          <w:tcPr>
            <w:tcW w:type="dxa" w:w="5000"/>
            <w:vAlign w:val="center"/>
          </w:tcPr>
          <w:p>
            <w:pPr>
              <w:spacing w:after="0"/>
            </w:pPr>
            <w:r/>
            <w:r>
              <w:rPr>
                <w:rFonts w:ascii="Calibri" w:hAnsi="Calibri"/>
                <w:b w:val="0"/>
                <w:color w:val="333537"/>
                <w:sz w:val="13"/>
              </w:rPr>
              <w:t>ADR-059: Bağlı Temiz Yedek Yeniden Yazım Kronolojisi</w:t>
            </w:r>
          </w:p>
        </w:tc>
        <w:tc>
          <w:tcPr>
            <w:tcW w:type="dxa" w:w="3460"/>
            <w:vAlign w:val="center"/>
          </w:tcPr>
          <w:p>
            <w:pPr>
              <w:spacing w:after="0"/>
            </w:pPr>
            <w:r/>
            <w:r>
              <w:rPr>
                <w:rFonts w:ascii="Calibri" w:hAnsi="Calibri"/>
                <w:b w:val="0"/>
                <w:color w:val="333537"/>
                <w:sz w:val="13"/>
              </w:rPr>
              <w:t>docs/adr/ADR-059-linked-clean-backup-rewrite-chronology.md</w:t>
            </w:r>
          </w:p>
        </w:tc>
      </w:tr>
      <w:tr>
        <w:tc>
          <w:tcPr>
            <w:tcW w:type="dxa" w:w="900"/>
            <w:vAlign w:val="center"/>
          </w:tcPr>
          <w:p>
            <w:pPr>
              <w:spacing w:after="0"/>
            </w:pPr>
            <w:r/>
            <w:r>
              <w:rPr>
                <w:rFonts w:ascii="Calibri" w:hAnsi="Calibri"/>
                <w:b w:val="0"/>
                <w:color w:val="333537"/>
                <w:sz w:val="13"/>
              </w:rPr>
              <w:t>ADR-060</w:t>
            </w:r>
          </w:p>
        </w:tc>
        <w:tc>
          <w:tcPr>
            <w:tcW w:type="dxa" w:w="5000"/>
            <w:vAlign w:val="center"/>
          </w:tcPr>
          <w:p>
            <w:pPr>
              <w:spacing w:after="0"/>
            </w:pPr>
            <w:r/>
            <w:r>
              <w:rPr>
                <w:rFonts w:ascii="Calibri" w:hAnsi="Calibri"/>
                <w:b w:val="0"/>
                <w:color w:val="333537"/>
                <w:sz w:val="13"/>
              </w:rPr>
              <w:t>ADR-060 — Yeniden Başlatmaya Dayanıklı Temiz Yedek Kurtarma Kronolojisi</w:t>
            </w:r>
          </w:p>
        </w:tc>
        <w:tc>
          <w:tcPr>
            <w:tcW w:type="dxa" w:w="3460"/>
            <w:vAlign w:val="center"/>
          </w:tcPr>
          <w:p>
            <w:pPr>
              <w:spacing w:after="0"/>
            </w:pPr>
            <w:r/>
            <w:r>
              <w:rPr>
                <w:rFonts w:ascii="Calibri" w:hAnsi="Calibri"/>
                <w:b w:val="0"/>
                <w:color w:val="333537"/>
                <w:sz w:val="13"/>
              </w:rPr>
              <w:t>docs/adr/ADR-060-restart-safe-clean-backup-rewrite-recovery.md</w:t>
            </w:r>
          </w:p>
        </w:tc>
      </w:tr>
      <w:tr>
        <w:tc>
          <w:tcPr>
            <w:tcW w:type="dxa" w:w="900"/>
            <w:vAlign w:val="center"/>
          </w:tcPr>
          <w:p>
            <w:pPr>
              <w:spacing w:after="0"/>
            </w:pPr>
            <w:r/>
            <w:r>
              <w:rPr>
                <w:rFonts w:ascii="Calibri" w:hAnsi="Calibri"/>
                <w:b w:val="0"/>
                <w:color w:val="333537"/>
                <w:sz w:val="13"/>
              </w:rPr>
              <w:t>ADR-061</w:t>
            </w:r>
          </w:p>
        </w:tc>
        <w:tc>
          <w:tcPr>
            <w:tcW w:type="dxa" w:w="5000"/>
            <w:vAlign w:val="center"/>
          </w:tcPr>
          <w:p>
            <w:pPr>
              <w:spacing w:after="0"/>
            </w:pPr>
            <w:r/>
            <w:r>
              <w:rPr>
                <w:rFonts w:ascii="Calibri" w:hAnsi="Calibri"/>
                <w:b w:val="0"/>
                <w:color w:val="333537"/>
                <w:sz w:val="13"/>
              </w:rPr>
              <w:t>ADR-061 — Geri Alma Güvenli Temiz Yedek Çalışma Sahiplenmesi</w:t>
            </w:r>
          </w:p>
        </w:tc>
        <w:tc>
          <w:tcPr>
            <w:tcW w:type="dxa" w:w="3460"/>
            <w:vAlign w:val="center"/>
          </w:tcPr>
          <w:p>
            <w:pPr>
              <w:spacing w:after="0"/>
            </w:pPr>
            <w:r/>
            <w:r>
              <w:rPr>
                <w:rFonts w:ascii="Calibri" w:hAnsi="Calibri"/>
                <w:b w:val="0"/>
                <w:color w:val="333537"/>
                <w:sz w:val="13"/>
              </w:rPr>
              <w:t>docs/adr/ADR-061-rollback-safe-clean-backup-rewrite-claim.md</w:t>
            </w:r>
          </w:p>
        </w:tc>
      </w:tr>
      <w:tr>
        <w:tc>
          <w:tcPr>
            <w:tcW w:type="dxa" w:w="900"/>
            <w:vAlign w:val="center"/>
          </w:tcPr>
          <w:p>
            <w:pPr>
              <w:spacing w:after="0"/>
            </w:pPr>
            <w:r/>
            <w:r>
              <w:rPr>
                <w:rFonts w:ascii="Calibri" w:hAnsi="Calibri"/>
                <w:b w:val="0"/>
                <w:color w:val="333537"/>
                <w:sz w:val="13"/>
              </w:rPr>
              <w:t>ADR-062</w:t>
            </w:r>
          </w:p>
        </w:tc>
        <w:tc>
          <w:tcPr>
            <w:tcW w:type="dxa" w:w="5000"/>
            <w:vAlign w:val="center"/>
          </w:tcPr>
          <w:p>
            <w:pPr>
              <w:spacing w:after="0"/>
            </w:pPr>
            <w:r/>
            <w:r>
              <w:rPr>
                <w:rFonts w:ascii="Calibri" w:hAnsi="Calibri"/>
                <w:b w:val="0"/>
                <w:color w:val="333537"/>
                <w:sz w:val="13"/>
              </w:rPr>
              <w:t>ADR-062 — Temiz Yedek Yeniden Yazım Operasyonel İzolasyonu</w:t>
            </w:r>
          </w:p>
        </w:tc>
        <w:tc>
          <w:tcPr>
            <w:tcW w:type="dxa" w:w="3460"/>
            <w:vAlign w:val="center"/>
          </w:tcPr>
          <w:p>
            <w:pPr>
              <w:spacing w:after="0"/>
            </w:pPr>
            <w:r/>
            <w:r>
              <w:rPr>
                <w:rFonts w:ascii="Calibri" w:hAnsi="Calibri"/>
                <w:b w:val="0"/>
                <w:color w:val="333537"/>
                <w:sz w:val="13"/>
              </w:rPr>
              <w:t>docs/adr/ADR-062-clean-backup-rewrite-operational-isolation.md</w:t>
            </w:r>
          </w:p>
        </w:tc>
      </w:tr>
      <w:tr>
        <w:tc>
          <w:tcPr>
            <w:tcW w:type="dxa" w:w="900"/>
            <w:vAlign w:val="center"/>
          </w:tcPr>
          <w:p>
            <w:pPr>
              <w:spacing w:after="0"/>
            </w:pPr>
            <w:r/>
            <w:r>
              <w:rPr>
                <w:rFonts w:ascii="Calibri" w:hAnsi="Calibri"/>
                <w:b w:val="0"/>
                <w:color w:val="333537"/>
                <w:sz w:val="13"/>
              </w:rPr>
              <w:t>ADR-063</w:t>
            </w:r>
          </w:p>
        </w:tc>
        <w:tc>
          <w:tcPr>
            <w:tcW w:type="dxa" w:w="5000"/>
            <w:vAlign w:val="center"/>
          </w:tcPr>
          <w:p>
            <w:pPr>
              <w:spacing w:after="0"/>
            </w:pPr>
            <w:r/>
            <w:r>
              <w:rPr>
                <w:rFonts w:ascii="Calibri" w:hAnsi="Calibri"/>
                <w:b w:val="0"/>
                <w:color w:val="333537"/>
                <w:sz w:val="13"/>
              </w:rPr>
              <w:t>ADR-063 — Monotonik Temiz Yedek Terminal Kronolojisi</w:t>
            </w:r>
          </w:p>
        </w:tc>
        <w:tc>
          <w:tcPr>
            <w:tcW w:type="dxa" w:w="3460"/>
            <w:vAlign w:val="center"/>
          </w:tcPr>
          <w:p>
            <w:pPr>
              <w:spacing w:after="0"/>
            </w:pPr>
            <w:r/>
            <w:r>
              <w:rPr>
                <w:rFonts w:ascii="Calibri" w:hAnsi="Calibri"/>
                <w:b w:val="0"/>
                <w:color w:val="333537"/>
                <w:sz w:val="13"/>
              </w:rPr>
              <w:t>docs/adr/ADR-063-monotonic-clean-backup-rewrite-terminal-chronology.md</w:t>
            </w:r>
          </w:p>
        </w:tc>
      </w:tr>
      <w:tr>
        <w:tc>
          <w:tcPr>
            <w:tcW w:type="dxa" w:w="900"/>
            <w:vAlign w:val="center"/>
          </w:tcPr>
          <w:p>
            <w:pPr>
              <w:spacing w:after="0"/>
            </w:pPr>
            <w:r/>
            <w:r>
              <w:rPr>
                <w:rFonts w:ascii="Calibri" w:hAnsi="Calibri"/>
                <w:b w:val="0"/>
                <w:color w:val="333537"/>
                <w:sz w:val="13"/>
              </w:rPr>
              <w:t>ADR-064</w:t>
            </w:r>
          </w:p>
        </w:tc>
        <w:tc>
          <w:tcPr>
            <w:tcW w:type="dxa" w:w="5000"/>
            <w:vAlign w:val="center"/>
          </w:tcPr>
          <w:p>
            <w:pPr>
              <w:spacing w:after="0"/>
            </w:pPr>
            <w:r/>
            <w:r>
              <w:rPr>
                <w:rFonts w:ascii="Calibri" w:hAnsi="Calibri"/>
                <w:b w:val="0"/>
                <w:color w:val="333537"/>
                <w:sz w:val="13"/>
              </w:rPr>
              <w:t>ADR-064 — Tetikleyiciye Duyarlı Temiz Yedek Geri Çekilmesi</w:t>
            </w:r>
          </w:p>
        </w:tc>
        <w:tc>
          <w:tcPr>
            <w:tcW w:type="dxa" w:w="3460"/>
            <w:vAlign w:val="center"/>
          </w:tcPr>
          <w:p>
            <w:pPr>
              <w:spacing w:after="0"/>
            </w:pPr>
            <w:r/>
            <w:r>
              <w:rPr>
                <w:rFonts w:ascii="Calibri" w:hAnsi="Calibri"/>
                <w:b w:val="0"/>
                <w:color w:val="333537"/>
                <w:sz w:val="13"/>
              </w:rPr>
              <w:t>docs/adr/ADR-064-trigger-aware-clean-backup-rewrite-backoff.md</w:t>
            </w:r>
          </w:p>
        </w:tc>
      </w:tr>
      <w:tr>
        <w:tc>
          <w:tcPr>
            <w:tcW w:type="dxa" w:w="900"/>
            <w:vAlign w:val="center"/>
          </w:tcPr>
          <w:p>
            <w:pPr>
              <w:spacing w:after="0"/>
            </w:pPr>
            <w:r/>
            <w:r>
              <w:rPr>
                <w:rFonts w:ascii="Calibri" w:hAnsi="Calibri"/>
                <w:b w:val="0"/>
                <w:color w:val="333537"/>
                <w:sz w:val="13"/>
              </w:rPr>
              <w:t>ADR-065</w:t>
            </w:r>
          </w:p>
        </w:tc>
        <w:tc>
          <w:tcPr>
            <w:tcW w:type="dxa" w:w="5000"/>
            <w:vAlign w:val="center"/>
          </w:tcPr>
          <w:p>
            <w:pPr>
              <w:spacing w:after="0"/>
            </w:pPr>
            <w:r/>
            <w:r>
              <w:rPr>
                <w:rFonts w:ascii="Calibri" w:hAnsi="Calibri"/>
                <w:b w:val="0"/>
                <w:color w:val="333537"/>
                <w:sz w:val="13"/>
              </w:rPr>
              <w:t>ADR-065 — Otomatik Politikadan Bağımsız Manuel Temiz-Yedek Kullanılabilirliği</w:t>
            </w:r>
          </w:p>
        </w:tc>
        <w:tc>
          <w:tcPr>
            <w:tcW w:type="dxa" w:w="3460"/>
            <w:vAlign w:val="center"/>
          </w:tcPr>
          <w:p>
            <w:pPr>
              <w:spacing w:after="0"/>
            </w:pPr>
            <w:r/>
            <w:r>
              <w:rPr>
                <w:rFonts w:ascii="Calibri" w:hAnsi="Calibri"/>
                <w:b w:val="0"/>
                <w:color w:val="333537"/>
                <w:sz w:val="13"/>
              </w:rPr>
              <w:t>docs/adr/ADR-065-manual-clean-backup-rewrite-availability.md</w:t>
            </w:r>
          </w:p>
        </w:tc>
      </w:tr>
      <w:tr>
        <w:tc>
          <w:tcPr>
            <w:tcW w:type="dxa" w:w="900"/>
            <w:vAlign w:val="center"/>
          </w:tcPr>
          <w:p>
            <w:pPr>
              <w:spacing w:after="0"/>
            </w:pPr>
            <w:r/>
            <w:r>
              <w:rPr>
                <w:rFonts w:ascii="Calibri" w:hAnsi="Calibri"/>
                <w:b w:val="0"/>
                <w:color w:val="333537"/>
                <w:sz w:val="13"/>
              </w:rPr>
              <w:t>ADR-066</w:t>
            </w:r>
          </w:p>
        </w:tc>
        <w:tc>
          <w:tcPr>
            <w:tcW w:type="dxa" w:w="5000"/>
            <w:vAlign w:val="center"/>
          </w:tcPr>
          <w:p>
            <w:pPr>
              <w:spacing w:after="0"/>
            </w:pPr>
            <w:r/>
            <w:r>
              <w:rPr>
                <w:rFonts w:ascii="Calibri" w:hAnsi="Calibri"/>
                <w:b w:val="0"/>
                <w:color w:val="333537"/>
                <w:sz w:val="13"/>
              </w:rPr>
              <w:t>ADR-066 — Çalışan Temiz-Yedek Defteri Sahip Kimliği</w:t>
            </w:r>
          </w:p>
        </w:tc>
        <w:tc>
          <w:tcPr>
            <w:tcW w:type="dxa" w:w="3460"/>
            <w:vAlign w:val="center"/>
          </w:tcPr>
          <w:p>
            <w:pPr>
              <w:spacing w:after="0"/>
            </w:pPr>
            <w:r/>
            <w:r>
              <w:rPr>
                <w:rFonts w:ascii="Calibri" w:hAnsi="Calibri"/>
                <w:b w:val="0"/>
                <w:color w:val="333537"/>
                <w:sz w:val="13"/>
              </w:rPr>
              <w:t>docs/adr/ADR-066-running-clean-backup-ledger-owner-identity.md</w:t>
            </w:r>
          </w:p>
        </w:tc>
      </w:tr>
      <w:tr>
        <w:tc>
          <w:tcPr>
            <w:tcW w:type="dxa" w:w="900"/>
            <w:vAlign w:val="center"/>
          </w:tcPr>
          <w:p>
            <w:pPr>
              <w:spacing w:after="0"/>
            </w:pPr>
            <w:r/>
            <w:r>
              <w:rPr>
                <w:rFonts w:ascii="Calibri" w:hAnsi="Calibri"/>
                <w:b w:val="0"/>
                <w:color w:val="333537"/>
                <w:sz w:val="13"/>
              </w:rPr>
              <w:t>ADR-068</w:t>
            </w:r>
          </w:p>
        </w:tc>
        <w:tc>
          <w:tcPr>
            <w:tcW w:type="dxa" w:w="5000"/>
            <w:vAlign w:val="center"/>
          </w:tcPr>
          <w:p>
            <w:pPr>
              <w:spacing w:after="0"/>
            </w:pPr>
            <w:r/>
            <w:r>
              <w:rPr>
                <w:rFonts w:ascii="Calibri" w:hAnsi="Calibri"/>
                <w:b w:val="0"/>
                <w:color w:val="333537"/>
                <w:sz w:val="13"/>
              </w:rPr>
              <w:t>ADR-068 — Değiştirilemez Aktif Temiz-Yedek Sahiplik Anlık Görüntüsü</w:t>
            </w:r>
          </w:p>
        </w:tc>
        <w:tc>
          <w:tcPr>
            <w:tcW w:type="dxa" w:w="3460"/>
            <w:vAlign w:val="center"/>
          </w:tcPr>
          <w:p>
            <w:pPr>
              <w:spacing w:after="0"/>
            </w:pPr>
            <w:r/>
            <w:r>
              <w:rPr>
                <w:rFonts w:ascii="Calibri" w:hAnsi="Calibri"/>
                <w:b w:val="0"/>
                <w:color w:val="333537"/>
                <w:sz w:val="13"/>
              </w:rPr>
              <w:t>docs/adr/ADR-068-immutable-active-clean-rewrite-ownership-snapshot.md</w:t>
            </w:r>
          </w:p>
        </w:tc>
      </w:tr>
      <w:tr>
        <w:tc>
          <w:tcPr>
            <w:tcW w:type="dxa" w:w="900"/>
            <w:vAlign w:val="center"/>
          </w:tcPr>
          <w:p>
            <w:pPr>
              <w:spacing w:after="0"/>
            </w:pPr>
            <w:r/>
            <w:r>
              <w:rPr>
                <w:rFonts w:ascii="Calibri" w:hAnsi="Calibri"/>
                <w:b w:val="0"/>
                <w:color w:val="333537"/>
                <w:sz w:val="13"/>
              </w:rPr>
              <w:t>ADR-069</w:t>
            </w:r>
          </w:p>
        </w:tc>
        <w:tc>
          <w:tcPr>
            <w:tcW w:type="dxa" w:w="5000"/>
            <w:vAlign w:val="center"/>
          </w:tcPr>
          <w:p>
            <w:pPr>
              <w:spacing w:after="0"/>
            </w:pPr>
            <w:r/>
            <w:r>
              <w:rPr>
                <w:rFonts w:ascii="Calibri" w:hAnsi="Calibri"/>
                <w:b w:val="0"/>
                <w:color w:val="333537"/>
                <w:sz w:val="13"/>
              </w:rPr>
              <w:t>ADR-069 — Aktif Temiz-Yedek Politika Parametreleri Değiştirilemez</w:t>
            </w:r>
          </w:p>
        </w:tc>
        <w:tc>
          <w:tcPr>
            <w:tcW w:type="dxa" w:w="3460"/>
            <w:vAlign w:val="center"/>
          </w:tcPr>
          <w:p>
            <w:pPr>
              <w:spacing w:after="0"/>
            </w:pPr>
            <w:r/>
            <w:r>
              <w:rPr>
                <w:rFonts w:ascii="Calibri" w:hAnsi="Calibri"/>
                <w:b w:val="0"/>
                <w:color w:val="333537"/>
                <w:sz w:val="13"/>
              </w:rPr>
              <w:t>docs/adr/ADR-069-immutable-active-clean-rewrite-policy-parameters.md</w:t>
            </w:r>
          </w:p>
        </w:tc>
      </w:tr>
      <w:tr>
        <w:tc>
          <w:tcPr>
            <w:tcW w:type="dxa" w:w="900"/>
            <w:vAlign w:val="center"/>
          </w:tcPr>
          <w:p>
            <w:pPr>
              <w:spacing w:after="0"/>
            </w:pPr>
            <w:r/>
            <w:r>
              <w:rPr>
                <w:rFonts w:ascii="Calibri" w:hAnsi="Calibri"/>
                <w:b w:val="0"/>
                <w:color w:val="333537"/>
                <w:sz w:val="13"/>
              </w:rPr>
              <w:t>ADR-070</w:t>
            </w:r>
          </w:p>
        </w:tc>
        <w:tc>
          <w:tcPr>
            <w:tcW w:type="dxa" w:w="5000"/>
            <w:vAlign w:val="center"/>
          </w:tcPr>
          <w:p>
            <w:pPr>
              <w:spacing w:after="0"/>
            </w:pPr>
            <w:r/>
            <w:r>
              <w:rPr>
                <w:rFonts w:ascii="Calibri" w:hAnsi="Calibri"/>
                <w:b w:val="0"/>
                <w:color w:val="333537"/>
                <w:sz w:val="13"/>
              </w:rPr>
              <w:t>ADR-070 — Atomik temiz-yedek terminal geçişi</w:t>
            </w:r>
          </w:p>
        </w:tc>
        <w:tc>
          <w:tcPr>
            <w:tcW w:type="dxa" w:w="3460"/>
            <w:vAlign w:val="center"/>
          </w:tcPr>
          <w:p>
            <w:pPr>
              <w:spacing w:after="0"/>
            </w:pPr>
            <w:r/>
            <w:r>
              <w:rPr>
                <w:rFonts w:ascii="Calibri" w:hAnsi="Calibri"/>
                <w:b w:val="0"/>
                <w:color w:val="333537"/>
                <w:sz w:val="13"/>
              </w:rPr>
              <w:t>docs/adr/ADR-070-atomic-clean-rewrite-terminal-transition.md</w:t>
            </w:r>
          </w:p>
        </w:tc>
      </w:tr>
      <w:tr>
        <w:tc>
          <w:tcPr>
            <w:tcW w:type="dxa" w:w="900"/>
            <w:vAlign w:val="center"/>
          </w:tcPr>
          <w:p>
            <w:pPr>
              <w:spacing w:after="0"/>
            </w:pPr>
            <w:r/>
            <w:r>
              <w:rPr>
                <w:rFonts w:ascii="Calibri" w:hAnsi="Calibri"/>
                <w:b w:val="0"/>
                <w:color w:val="333537"/>
                <w:sz w:val="13"/>
              </w:rPr>
              <w:t>ADR-071</w:t>
            </w:r>
          </w:p>
        </w:tc>
        <w:tc>
          <w:tcPr>
            <w:tcW w:type="dxa" w:w="5000"/>
            <w:vAlign w:val="center"/>
          </w:tcPr>
          <w:p>
            <w:pPr>
              <w:spacing w:after="0"/>
            </w:pPr>
            <w:r/>
            <w:r>
              <w:rPr>
                <w:rFonts w:ascii="Calibri" w:hAnsi="Calibri"/>
                <w:b w:val="0"/>
                <w:color w:val="333537"/>
                <w:sz w:val="13"/>
              </w:rPr>
              <w:t>ADR-071 — Terminal temiz-yedek kronoloji monotonluğu</w:t>
            </w:r>
          </w:p>
        </w:tc>
        <w:tc>
          <w:tcPr>
            <w:tcW w:type="dxa" w:w="3460"/>
            <w:vAlign w:val="center"/>
          </w:tcPr>
          <w:p>
            <w:pPr>
              <w:spacing w:after="0"/>
            </w:pPr>
            <w:r/>
            <w:r>
              <w:rPr>
                <w:rFonts w:ascii="Calibri" w:hAnsi="Calibri"/>
                <w:b w:val="0"/>
                <w:color w:val="333537"/>
                <w:sz w:val="13"/>
              </w:rPr>
              <w:t>docs/adr/ADR-071-terminal-clean-rewrite-chronology-monotonicity.md</w:t>
            </w:r>
          </w:p>
        </w:tc>
      </w:tr>
      <w:tr>
        <w:tc>
          <w:tcPr>
            <w:tcW w:type="dxa" w:w="900"/>
            <w:vAlign w:val="center"/>
          </w:tcPr>
          <w:p>
            <w:pPr>
              <w:spacing w:after="0"/>
            </w:pPr>
            <w:r/>
            <w:r>
              <w:rPr>
                <w:rFonts w:ascii="Calibri" w:hAnsi="Calibri"/>
                <w:b w:val="0"/>
                <w:color w:val="333537"/>
                <w:sz w:val="13"/>
              </w:rPr>
              <w:t>ADR-072</w:t>
            </w:r>
          </w:p>
        </w:tc>
        <w:tc>
          <w:tcPr>
            <w:tcW w:type="dxa" w:w="5000"/>
            <w:vAlign w:val="center"/>
          </w:tcPr>
          <w:p>
            <w:pPr>
              <w:spacing w:after="0"/>
            </w:pPr>
            <w:r/>
            <w:r>
              <w:rPr>
                <w:rFonts w:ascii="Calibri" w:hAnsi="Calibri"/>
                <w:b w:val="0"/>
                <w:color w:val="333537"/>
                <w:sz w:val="13"/>
              </w:rPr>
              <w:t>ADR-072 — Clean Backup Rewrite Propagation Outcome Integrity</w:t>
            </w:r>
          </w:p>
        </w:tc>
        <w:tc>
          <w:tcPr>
            <w:tcW w:type="dxa" w:w="3460"/>
            <w:vAlign w:val="center"/>
          </w:tcPr>
          <w:p>
            <w:pPr>
              <w:spacing w:after="0"/>
            </w:pPr>
            <w:r/>
            <w:r>
              <w:rPr>
                <w:rFonts w:ascii="Calibri" w:hAnsi="Calibri"/>
                <w:b w:val="0"/>
                <w:color w:val="333537"/>
                <w:sz w:val="13"/>
              </w:rPr>
              <w:t>docs/adr/ADR-072-clean-backup-rewrite-propagation-outcome-integrity.md</w:t>
            </w:r>
          </w:p>
        </w:tc>
      </w:tr>
      <w:tr>
        <w:tc>
          <w:tcPr>
            <w:tcW w:type="dxa" w:w="900"/>
            <w:vAlign w:val="center"/>
          </w:tcPr>
          <w:p>
            <w:pPr>
              <w:spacing w:after="0"/>
            </w:pPr>
            <w:r/>
            <w:r>
              <w:rPr>
                <w:rFonts w:ascii="Calibri" w:hAnsi="Calibri"/>
                <w:b w:val="0"/>
                <w:color w:val="333537"/>
                <w:sz w:val="13"/>
              </w:rPr>
              <w:t>ADR-073</w:t>
            </w:r>
          </w:p>
        </w:tc>
        <w:tc>
          <w:tcPr>
            <w:tcW w:type="dxa" w:w="5000"/>
            <w:vAlign w:val="center"/>
          </w:tcPr>
          <w:p>
            <w:pPr>
              <w:spacing w:after="0"/>
            </w:pPr>
            <w:r/>
            <w:r>
              <w:rPr>
                <w:rFonts w:ascii="Calibri" w:hAnsi="Calibri"/>
                <w:b w:val="0"/>
                <w:color w:val="333537"/>
                <w:sz w:val="13"/>
              </w:rPr>
              <w:t>ADR-073 — Clean backup rewrite propagation status integrity</w:t>
            </w:r>
          </w:p>
        </w:tc>
        <w:tc>
          <w:tcPr>
            <w:tcW w:type="dxa" w:w="3460"/>
            <w:vAlign w:val="center"/>
          </w:tcPr>
          <w:p>
            <w:pPr>
              <w:spacing w:after="0"/>
            </w:pPr>
            <w:r/>
            <w:r>
              <w:rPr>
                <w:rFonts w:ascii="Calibri" w:hAnsi="Calibri"/>
                <w:b w:val="0"/>
                <w:color w:val="333537"/>
                <w:sz w:val="13"/>
              </w:rPr>
              <w:t>docs/adr/ADR-073-clean-backup-rewrite-propagation-status-integrity.md</w:t>
            </w:r>
          </w:p>
        </w:tc>
      </w:tr>
      <w:tr>
        <w:tc>
          <w:tcPr>
            <w:tcW w:type="dxa" w:w="900"/>
            <w:vAlign w:val="center"/>
          </w:tcPr>
          <w:p>
            <w:pPr>
              <w:spacing w:after="0"/>
            </w:pPr>
            <w:r/>
            <w:r>
              <w:rPr>
                <w:rFonts w:ascii="Calibri" w:hAnsi="Calibri"/>
                <w:b w:val="0"/>
                <w:color w:val="333537"/>
                <w:sz w:val="13"/>
              </w:rPr>
              <w:t>ADR-074</w:t>
            </w:r>
          </w:p>
        </w:tc>
        <w:tc>
          <w:tcPr>
            <w:tcW w:type="dxa" w:w="5000"/>
            <w:vAlign w:val="center"/>
          </w:tcPr>
          <w:p>
            <w:pPr>
              <w:spacing w:after="0"/>
            </w:pPr>
            <w:r/>
            <w:r>
              <w:rPr>
                <w:rFonts w:ascii="Calibri" w:hAnsi="Calibri"/>
                <w:b w:val="0"/>
                <w:color w:val="333537"/>
                <w:sz w:val="13"/>
              </w:rPr>
              <w:t>ADR-074 — Propagation sonucu tekil sahipliği</w:t>
            </w:r>
          </w:p>
        </w:tc>
        <w:tc>
          <w:tcPr>
            <w:tcW w:type="dxa" w:w="3460"/>
            <w:vAlign w:val="center"/>
          </w:tcPr>
          <w:p>
            <w:pPr>
              <w:spacing w:after="0"/>
            </w:pPr>
            <w:r/>
            <w:r>
              <w:rPr>
                <w:rFonts w:ascii="Calibri" w:hAnsi="Calibri"/>
                <w:b w:val="0"/>
                <w:color w:val="333537"/>
                <w:sz w:val="13"/>
              </w:rPr>
              <w:t>docs/adr/ADR-074-clean-backup-rewrite-propagation-uniqueness.md</w:t>
            </w:r>
          </w:p>
        </w:tc>
      </w:tr>
      <w:tr>
        <w:tc>
          <w:tcPr>
            <w:tcW w:type="dxa" w:w="900"/>
            <w:vAlign w:val="center"/>
          </w:tcPr>
          <w:p>
            <w:pPr>
              <w:spacing w:after="0"/>
            </w:pPr>
            <w:r/>
            <w:r>
              <w:rPr>
                <w:rFonts w:ascii="Calibri" w:hAnsi="Calibri"/>
                <w:b w:val="0"/>
                <w:color w:val="333537"/>
                <w:sz w:val="13"/>
              </w:rPr>
              <w:t>ADR-075</w:t>
            </w:r>
          </w:p>
        </w:tc>
        <w:tc>
          <w:tcPr>
            <w:tcW w:type="dxa" w:w="5000"/>
            <w:vAlign w:val="center"/>
          </w:tcPr>
          <w:p>
            <w:pPr>
              <w:spacing w:after="0"/>
            </w:pPr>
            <w:r/>
            <w:r>
              <w:rPr>
                <w:rFonts w:ascii="Calibri" w:hAnsi="Calibri"/>
                <w:b w:val="0"/>
                <w:color w:val="333537"/>
                <w:sz w:val="13"/>
              </w:rPr>
              <w:t>ADR-075 — Propagation reference permanence</w:t>
            </w:r>
          </w:p>
        </w:tc>
        <w:tc>
          <w:tcPr>
            <w:tcW w:type="dxa" w:w="3460"/>
            <w:vAlign w:val="center"/>
          </w:tcPr>
          <w:p>
            <w:pPr>
              <w:spacing w:after="0"/>
            </w:pPr>
            <w:r/>
            <w:r>
              <w:rPr>
                <w:rFonts w:ascii="Calibri" w:hAnsi="Calibri"/>
                <w:b w:val="0"/>
                <w:color w:val="333537"/>
                <w:sz w:val="13"/>
              </w:rPr>
              <w:t>docs/adr/ADR-075-clean-backup-rewrite-propagation-reference-permanence.md</w:t>
            </w:r>
          </w:p>
        </w:tc>
      </w:tr>
      <w:tr>
        <w:tc>
          <w:tcPr>
            <w:tcW w:type="dxa" w:w="900"/>
            <w:vAlign w:val="center"/>
          </w:tcPr>
          <w:p>
            <w:pPr>
              <w:spacing w:after="0"/>
            </w:pPr>
            <w:r/>
            <w:r>
              <w:rPr>
                <w:rFonts w:ascii="Calibri" w:hAnsi="Calibri"/>
                <w:b w:val="0"/>
                <w:color w:val="333537"/>
                <w:sz w:val="13"/>
              </w:rPr>
              <w:t>ADR-076</w:t>
            </w:r>
          </w:p>
        </w:tc>
        <w:tc>
          <w:tcPr>
            <w:tcW w:type="dxa" w:w="5000"/>
            <w:vAlign w:val="center"/>
          </w:tcPr>
          <w:p>
            <w:pPr>
              <w:spacing w:after="0"/>
            </w:pPr>
            <w:r/>
            <w:r>
              <w:rPr>
                <w:rFonts w:ascii="Calibri" w:hAnsi="Calibri"/>
                <w:b w:val="0"/>
                <w:color w:val="333537"/>
                <w:sz w:val="13"/>
              </w:rPr>
              <w:t>ADR-076 — Bağlı propagation kanıtını dondurma</w:t>
            </w:r>
          </w:p>
        </w:tc>
        <w:tc>
          <w:tcPr>
            <w:tcW w:type="dxa" w:w="3460"/>
            <w:vAlign w:val="center"/>
          </w:tcPr>
          <w:p>
            <w:pPr>
              <w:spacing w:after="0"/>
            </w:pPr>
            <w:r/>
            <w:r>
              <w:rPr>
                <w:rFonts w:ascii="Calibri" w:hAnsi="Calibri"/>
                <w:b w:val="0"/>
                <w:color w:val="333537"/>
                <w:sz w:val="13"/>
              </w:rPr>
              <w:t>docs/adr/ADR-076-clean-backup-rewrite-propagation-evidence-immutability.md</w:t>
            </w:r>
          </w:p>
        </w:tc>
      </w:tr>
      <w:tr>
        <w:tc>
          <w:tcPr>
            <w:tcW w:type="dxa" w:w="900"/>
            <w:vAlign w:val="center"/>
          </w:tcPr>
          <w:p>
            <w:pPr>
              <w:spacing w:after="0"/>
            </w:pPr>
            <w:r/>
            <w:r>
              <w:rPr>
                <w:rFonts w:ascii="Calibri" w:hAnsi="Calibri"/>
                <w:b w:val="0"/>
                <w:color w:val="333537"/>
                <w:sz w:val="13"/>
              </w:rPr>
              <w:t>ADR-077</w:t>
            </w:r>
          </w:p>
        </w:tc>
        <w:tc>
          <w:tcPr>
            <w:tcW w:type="dxa" w:w="5000"/>
            <w:vAlign w:val="center"/>
          </w:tcPr>
          <w:p>
            <w:pPr>
              <w:spacing w:after="0"/>
            </w:pPr>
            <w:r/>
            <w:r>
              <w:rPr>
                <w:rFonts w:ascii="Calibri" w:hAnsi="Calibri"/>
                <w:b w:val="0"/>
                <w:color w:val="333537"/>
                <w:sz w:val="13"/>
              </w:rPr>
              <w:t>ADR-077 — Referanslanmış propagation kimliğinde INSERT koruması</w:t>
            </w:r>
          </w:p>
        </w:tc>
        <w:tc>
          <w:tcPr>
            <w:tcW w:type="dxa" w:w="3460"/>
            <w:vAlign w:val="center"/>
          </w:tcPr>
          <w:p>
            <w:pPr>
              <w:spacing w:after="0"/>
            </w:pPr>
            <w:r/>
            <w:r>
              <w:rPr>
                <w:rFonts w:ascii="Calibri" w:hAnsi="Calibri"/>
                <w:b w:val="0"/>
                <w:color w:val="333537"/>
                <w:sz w:val="13"/>
              </w:rPr>
              <w:t>docs/adr/ADR-077-clean-backup-rewrite-propagation-replace-bypass-protection.md</w:t>
            </w:r>
          </w:p>
        </w:tc>
      </w:tr>
      <w:tr>
        <w:tc>
          <w:tcPr>
            <w:tcW w:type="dxa" w:w="900"/>
            <w:vAlign w:val="center"/>
          </w:tcPr>
          <w:p>
            <w:pPr>
              <w:spacing w:after="0"/>
            </w:pPr>
            <w:r/>
            <w:r>
              <w:rPr>
                <w:rFonts w:ascii="Calibri" w:hAnsi="Calibri"/>
                <w:b w:val="0"/>
                <w:color w:val="333537"/>
                <w:sz w:val="13"/>
              </w:rPr>
              <w:t>ADR-078</w:t>
            </w:r>
          </w:p>
        </w:tc>
        <w:tc>
          <w:tcPr>
            <w:tcW w:type="dxa" w:w="5000"/>
            <w:vAlign w:val="center"/>
          </w:tcPr>
          <w:p>
            <w:pPr>
              <w:spacing w:after="0"/>
            </w:pPr>
            <w:r/>
            <w:r>
              <w:rPr>
                <w:rFonts w:ascii="Calibri" w:hAnsi="Calibri"/>
                <w:b w:val="0"/>
                <w:color w:val="333537"/>
                <w:sz w:val="13"/>
              </w:rPr>
              <w:t>ADR-078 — Ana Build Defteri ve Sohbetten Bağımsız Süreklilik</w:t>
            </w:r>
          </w:p>
        </w:tc>
        <w:tc>
          <w:tcPr>
            <w:tcW w:type="dxa" w:w="3460"/>
            <w:vAlign w:val="center"/>
          </w:tcPr>
          <w:p>
            <w:pPr>
              <w:spacing w:after="0"/>
            </w:pPr>
            <w:r/>
            <w:r>
              <w:rPr>
                <w:rFonts w:ascii="Calibri" w:hAnsi="Calibri"/>
                <w:b w:val="0"/>
                <w:color w:val="333537"/>
                <w:sz w:val="13"/>
              </w:rPr>
              <w:t>docs/adr/ADR-078-master-build-ledger-continuity.md</w:t>
            </w:r>
          </w:p>
        </w:tc>
      </w:tr>
      <w:tr>
        <w:tc>
          <w:tcPr>
            <w:tcW w:type="dxa" w:w="900"/>
            <w:vAlign w:val="center"/>
          </w:tcPr>
          <w:p>
            <w:pPr>
              <w:spacing w:after="0"/>
            </w:pPr>
            <w:r/>
            <w:r>
              <w:rPr>
                <w:rFonts w:ascii="Calibri" w:hAnsi="Calibri"/>
                <w:b w:val="0"/>
                <w:color w:val="333537"/>
                <w:sz w:val="13"/>
              </w:rPr>
              <w:t>ADR-079</w:t>
            </w:r>
          </w:p>
        </w:tc>
        <w:tc>
          <w:tcPr>
            <w:tcW w:type="dxa" w:w="5000"/>
            <w:vAlign w:val="center"/>
          </w:tcPr>
          <w:p>
            <w:pPr>
              <w:spacing w:after="0"/>
            </w:pPr>
            <w:r/>
            <w:r>
              <w:rPr>
                <w:rFonts w:ascii="Calibri" w:hAnsi="Calibri"/>
                <w:b w:val="0"/>
                <w:color w:val="333537"/>
                <w:sz w:val="13"/>
              </w:rPr>
              <w:t>ADR-079 — Bağlayıcı proje kurallarının zorunlu başlangıç kapısı</w:t>
            </w:r>
          </w:p>
        </w:tc>
        <w:tc>
          <w:tcPr>
            <w:tcW w:type="dxa" w:w="3460"/>
            <w:vAlign w:val="center"/>
          </w:tcPr>
          <w:p>
            <w:pPr>
              <w:spacing w:after="0"/>
            </w:pPr>
            <w:r/>
            <w:r>
              <w:rPr>
                <w:rFonts w:ascii="Calibri" w:hAnsi="Calibri"/>
                <w:b w:val="0"/>
                <w:color w:val="333537"/>
                <w:sz w:val="13"/>
              </w:rPr>
              <w:t>docs/adr/ADR-079-project-rules-mandatory-startup.md</w:t>
            </w:r>
          </w:p>
        </w:tc>
      </w:tr>
      <w:tr>
        <w:tc>
          <w:tcPr>
            <w:tcW w:type="dxa" w:w="900"/>
            <w:vAlign w:val="center"/>
          </w:tcPr>
          <w:p>
            <w:pPr>
              <w:spacing w:after="0"/>
            </w:pPr>
            <w:r/>
            <w:r>
              <w:rPr>
                <w:rFonts w:ascii="Calibri" w:hAnsi="Calibri"/>
                <w:b w:val="0"/>
                <w:color w:val="333537"/>
                <w:sz w:val="13"/>
              </w:rPr>
              <w:t>ADR-080</w:t>
            </w:r>
          </w:p>
        </w:tc>
        <w:tc>
          <w:tcPr>
            <w:tcW w:type="dxa" w:w="5000"/>
            <w:vAlign w:val="center"/>
          </w:tcPr>
          <w:p>
            <w:pPr>
              <w:spacing w:after="0"/>
            </w:pPr>
            <w:r/>
            <w:r>
              <w:rPr>
                <w:rFonts w:ascii="Calibri" w:hAnsi="Calibri"/>
                <w:b w:val="0"/>
                <w:color w:val="333537"/>
                <w:sz w:val="13"/>
              </w:rPr>
              <w:t>ADR-080 — Sohbet bağlam kapasitesi ve zorunlu yeni-sohbet devir kapısı</w:t>
            </w:r>
          </w:p>
        </w:tc>
        <w:tc>
          <w:tcPr>
            <w:tcW w:type="dxa" w:w="3460"/>
            <w:vAlign w:val="center"/>
          </w:tcPr>
          <w:p>
            <w:pPr>
              <w:spacing w:after="0"/>
            </w:pPr>
            <w:r/>
            <w:r>
              <w:rPr>
                <w:rFonts w:ascii="Calibri" w:hAnsi="Calibri"/>
                <w:b w:val="0"/>
                <w:color w:val="333537"/>
                <w:sz w:val="13"/>
              </w:rPr>
              <w:t>docs/adr/ADR-080-conversation-context-capacity-handoff-gate.md</w:t>
            </w:r>
          </w:p>
        </w:tc>
      </w:tr>
      <w:tr>
        <w:tc>
          <w:tcPr>
            <w:tcW w:type="dxa" w:w="900"/>
            <w:vAlign w:val="center"/>
          </w:tcPr>
          <w:p>
            <w:pPr>
              <w:spacing w:after="0"/>
            </w:pPr>
            <w:r/>
            <w:r>
              <w:rPr>
                <w:rFonts w:ascii="Calibri" w:hAnsi="Calibri"/>
                <w:b w:val="0"/>
                <w:color w:val="333537"/>
                <w:sz w:val="13"/>
              </w:rPr>
              <w:t>ADR-081</w:t>
            </w:r>
          </w:p>
        </w:tc>
        <w:tc>
          <w:tcPr>
            <w:tcW w:type="dxa" w:w="5000"/>
            <w:vAlign w:val="center"/>
          </w:tcPr>
          <w:p>
            <w:pPr>
              <w:spacing w:after="0"/>
            </w:pPr>
            <w:r/>
            <w:r>
              <w:rPr>
                <w:rFonts w:ascii="Calibri" w:hAnsi="Calibri"/>
                <w:b w:val="0"/>
                <w:color w:val="333537"/>
                <w:sz w:val="13"/>
              </w:rPr>
              <w:t>ADR-081 — Proje Anayasası V3 fail-closed yönetişim kapıları</w:t>
            </w:r>
          </w:p>
        </w:tc>
        <w:tc>
          <w:tcPr>
            <w:tcW w:type="dxa" w:w="3460"/>
            <w:vAlign w:val="center"/>
          </w:tcPr>
          <w:p>
            <w:pPr>
              <w:spacing w:after="0"/>
            </w:pPr>
            <w:r/>
            <w:r>
              <w:rPr>
                <w:rFonts w:ascii="Calibri" w:hAnsi="Calibri"/>
                <w:b w:val="0"/>
                <w:color w:val="333537"/>
                <w:sz w:val="13"/>
              </w:rPr>
              <w:t>docs/adr/ADR-081-project-constitution-v3-governance.md</w:t>
            </w:r>
          </w:p>
        </w:tc>
      </w:tr>
      <w:tr>
        <w:tc>
          <w:tcPr>
            <w:tcW w:type="dxa" w:w="900"/>
            <w:vAlign w:val="center"/>
          </w:tcPr>
          <w:p>
            <w:pPr>
              <w:spacing w:after="0"/>
            </w:pPr>
            <w:r/>
            <w:r>
              <w:rPr>
                <w:rFonts w:ascii="Calibri" w:hAnsi="Calibri"/>
                <w:b w:val="0"/>
                <w:color w:val="333537"/>
                <w:sz w:val="13"/>
              </w:rPr>
              <w:t>ADR-082</w:t>
            </w:r>
          </w:p>
        </w:tc>
        <w:tc>
          <w:tcPr>
            <w:tcW w:type="dxa" w:w="5000"/>
            <w:vAlign w:val="center"/>
          </w:tcPr>
          <w:p>
            <w:pPr>
              <w:spacing w:after="0"/>
            </w:pPr>
            <w:r/>
            <w:r>
              <w:rPr>
                <w:rFonts w:ascii="Calibri" w:hAnsi="Calibri"/>
                <w:b w:val="0"/>
                <w:color w:val="333537"/>
                <w:sz w:val="13"/>
              </w:rPr>
              <w:t>ADR-082 — Secure onboarding and user-data vault</w:t>
            </w:r>
          </w:p>
        </w:tc>
        <w:tc>
          <w:tcPr>
            <w:tcW w:type="dxa" w:w="3460"/>
            <w:vAlign w:val="center"/>
          </w:tcPr>
          <w:p>
            <w:pPr>
              <w:spacing w:after="0"/>
            </w:pPr>
            <w:r/>
            <w:r>
              <w:rPr>
                <w:rFonts w:ascii="Calibri" w:hAnsi="Calibri"/>
                <w:b w:val="0"/>
                <w:color w:val="333537"/>
                <w:sz w:val="13"/>
              </w:rPr>
              <w:t>docs/adr/ADR-082-secure-onboarding-user-data-vault.md</w:t>
            </w:r>
          </w:p>
        </w:tc>
      </w:tr>
      <w:tr>
        <w:tc>
          <w:tcPr>
            <w:tcW w:type="dxa" w:w="900"/>
            <w:vAlign w:val="center"/>
          </w:tcPr>
          <w:p>
            <w:pPr>
              <w:spacing w:after="0"/>
            </w:pPr>
            <w:r/>
            <w:r>
              <w:rPr>
                <w:rFonts w:ascii="Calibri" w:hAnsi="Calibri"/>
                <w:b w:val="0"/>
                <w:color w:val="333537"/>
                <w:sz w:val="13"/>
              </w:rPr>
              <w:t>ADR-083</w:t>
            </w:r>
          </w:p>
        </w:tc>
        <w:tc>
          <w:tcPr>
            <w:tcW w:type="dxa" w:w="5000"/>
            <w:vAlign w:val="center"/>
          </w:tcPr>
          <w:p>
            <w:pPr>
              <w:spacing w:after="0"/>
            </w:pPr>
            <w:r/>
            <w:r>
              <w:rPr>
                <w:rFonts w:ascii="Calibri" w:hAnsi="Calibri"/>
                <w:b w:val="0"/>
                <w:color w:val="333537"/>
                <w:sz w:val="13"/>
              </w:rPr>
              <w:t>ADR-083 — Terminal temiz-yedek ledger satırlarını SQLite düzeyinde değişmez kılma</w:t>
            </w:r>
          </w:p>
        </w:tc>
        <w:tc>
          <w:tcPr>
            <w:tcW w:type="dxa" w:w="3460"/>
            <w:vAlign w:val="center"/>
          </w:tcPr>
          <w:p>
            <w:pPr>
              <w:spacing w:after="0"/>
            </w:pPr>
            <w:r/>
            <w:r>
              <w:rPr>
                <w:rFonts w:ascii="Calibri" w:hAnsi="Calibri"/>
                <w:b w:val="0"/>
                <w:color w:val="333537"/>
                <w:sz w:val="13"/>
              </w:rPr>
              <w:t>docs/adr/ADR-083-clean-backup-terminal-ledger-immutability.md</w:t>
            </w:r>
          </w:p>
        </w:tc>
      </w:tr>
      <w:tr>
        <w:tc>
          <w:tcPr>
            <w:tcW w:type="dxa" w:w="900"/>
            <w:vAlign w:val="center"/>
          </w:tcPr>
          <w:p>
            <w:pPr>
              <w:spacing w:after="0"/>
            </w:pPr>
            <w:r/>
            <w:r>
              <w:rPr>
                <w:rFonts w:ascii="Calibri" w:hAnsi="Calibri"/>
                <w:b w:val="0"/>
                <w:color w:val="333537"/>
                <w:sz w:val="13"/>
              </w:rPr>
              <w:t>ADR-084</w:t>
            </w:r>
          </w:p>
        </w:tc>
        <w:tc>
          <w:tcPr>
            <w:tcW w:type="dxa" w:w="5000"/>
            <w:vAlign w:val="center"/>
          </w:tcPr>
          <w:p>
            <w:pPr>
              <w:spacing w:after="0"/>
            </w:pPr>
            <w:r/>
            <w:r>
              <w:rPr>
                <w:rFonts w:ascii="Calibri" w:hAnsi="Calibri"/>
                <w:b w:val="0"/>
                <w:color w:val="333537"/>
                <w:sz w:val="13"/>
              </w:rPr>
              <w:t>ADR-084 - fail-closed dependency acquisition handoff</w:t>
            </w:r>
          </w:p>
        </w:tc>
        <w:tc>
          <w:tcPr>
            <w:tcW w:type="dxa" w:w="3460"/>
            <w:vAlign w:val="center"/>
          </w:tcPr>
          <w:p>
            <w:pPr>
              <w:spacing w:after="0"/>
            </w:pPr>
            <w:r/>
            <w:r>
              <w:rPr>
                <w:rFonts w:ascii="Calibri" w:hAnsi="Calibri"/>
                <w:b w:val="0"/>
                <w:color w:val="333537"/>
                <w:sz w:val="13"/>
              </w:rPr>
              <w:t>docs/adr/ADR-084-clean-install-external-access-handoff.md</w:t>
            </w:r>
          </w:p>
        </w:tc>
      </w:tr>
      <w:tr>
        <w:tc>
          <w:tcPr>
            <w:tcW w:type="dxa" w:w="900"/>
            <w:vAlign w:val="center"/>
          </w:tcPr>
          <w:p>
            <w:pPr>
              <w:spacing w:after="0"/>
            </w:pPr>
            <w:r/>
            <w:r>
              <w:rPr>
                <w:rFonts w:ascii="Calibri" w:hAnsi="Calibri"/>
                <w:b w:val="0"/>
                <w:color w:val="333537"/>
                <w:sz w:val="13"/>
              </w:rPr>
              <w:t>ADR-085</w:t>
            </w:r>
          </w:p>
        </w:tc>
        <w:tc>
          <w:tcPr>
            <w:tcW w:type="dxa" w:w="5000"/>
            <w:vAlign w:val="center"/>
          </w:tcPr>
          <w:p>
            <w:pPr>
              <w:spacing w:after="0"/>
            </w:pPr>
            <w:r/>
            <w:r>
              <w:rPr>
                <w:rFonts w:ascii="Calibri" w:hAnsi="Calibri"/>
                <w:b w:val="0"/>
                <w:color w:val="333537"/>
                <w:sz w:val="13"/>
              </w:rPr>
              <w:t>ADR-085 — Onaylı UI baseline hash sabitlemesi</w:t>
            </w:r>
          </w:p>
        </w:tc>
        <w:tc>
          <w:tcPr>
            <w:tcW w:type="dxa" w:w="3460"/>
            <w:vAlign w:val="center"/>
          </w:tcPr>
          <w:p>
            <w:pPr>
              <w:spacing w:after="0"/>
            </w:pPr>
            <w:r/>
            <w:r>
              <w:rPr>
                <w:rFonts w:ascii="Calibri" w:hAnsi="Calibri"/>
                <w:b w:val="0"/>
                <w:color w:val="333537"/>
                <w:sz w:val="13"/>
              </w:rPr>
              <w:t>docs/adr/ADR-085-approved-ui-visual-baseline-hash-pinning.md</w:t>
            </w:r>
          </w:p>
        </w:tc>
      </w:tr>
      <w:tr>
        <w:tc>
          <w:tcPr>
            <w:tcW w:type="dxa" w:w="900"/>
            <w:vAlign w:val="center"/>
          </w:tcPr>
          <w:p>
            <w:pPr>
              <w:spacing w:after="0"/>
            </w:pPr>
            <w:r/>
            <w:r>
              <w:rPr>
                <w:rFonts w:ascii="Calibri" w:hAnsi="Calibri"/>
                <w:b w:val="0"/>
                <w:color w:val="333537"/>
                <w:sz w:val="13"/>
              </w:rPr>
              <w:t>ADR-086</w:t>
            </w:r>
          </w:p>
        </w:tc>
        <w:tc>
          <w:tcPr>
            <w:tcW w:type="dxa" w:w="5000"/>
            <w:vAlign w:val="center"/>
          </w:tcPr>
          <w:p>
            <w:pPr>
              <w:spacing w:after="0"/>
            </w:pPr>
            <w:r/>
            <w:r>
              <w:rPr>
                <w:rFonts w:ascii="Calibri" w:hAnsi="Calibri"/>
                <w:b w:val="0"/>
                <w:color w:val="333537"/>
                <w:sz w:val="13"/>
              </w:rPr>
              <w:t>ADR-086 — Bellek-içi SQLite ve Windows EFS korumalı bounded staging</w:t>
            </w:r>
          </w:p>
        </w:tc>
        <w:tc>
          <w:tcPr>
            <w:tcW w:type="dxa" w:w="3460"/>
            <w:vAlign w:val="center"/>
          </w:tcPr>
          <w:p>
            <w:pPr>
              <w:spacing w:after="0"/>
            </w:pPr>
            <w:r/>
            <w:r>
              <w:rPr>
                <w:rFonts w:ascii="Calibri" w:hAnsi="Calibri"/>
                <w:b w:val="0"/>
                <w:color w:val="333537"/>
                <w:sz w:val="13"/>
              </w:rPr>
              <w:t>docs/adr/ADR-086-memory-resident-sqlite-windows-efs-staging.md</w:t>
            </w:r>
          </w:p>
        </w:tc>
      </w:tr>
      <w:tr>
        <w:tc>
          <w:tcPr>
            <w:tcW w:type="dxa" w:w="900"/>
            <w:vAlign w:val="center"/>
          </w:tcPr>
          <w:p>
            <w:pPr>
              <w:spacing w:after="0"/>
            </w:pPr>
            <w:r/>
            <w:r>
              <w:rPr>
                <w:rFonts w:ascii="Calibri" w:hAnsi="Calibri"/>
                <w:b w:val="0"/>
                <w:color w:val="333537"/>
                <w:sz w:val="13"/>
              </w:rPr>
              <w:t>ADR-087</w:t>
            </w:r>
          </w:p>
        </w:tc>
        <w:tc>
          <w:tcPr>
            <w:tcW w:type="dxa" w:w="5000"/>
            <w:vAlign w:val="center"/>
          </w:tcPr>
          <w:p>
            <w:pPr>
              <w:spacing w:after="0"/>
            </w:pPr>
            <w:r/>
            <w:r>
              <w:rPr>
                <w:rFonts w:ascii="Calibri" w:hAnsi="Calibri"/>
                <w:b w:val="0"/>
                <w:color w:val="333537"/>
                <w:sz w:val="13"/>
              </w:rPr>
              <w:t>ADR-087 — Protected Side Artifact güvenlik sınırı</w:t>
            </w:r>
          </w:p>
        </w:tc>
        <w:tc>
          <w:tcPr>
            <w:tcW w:type="dxa" w:w="3460"/>
            <w:vAlign w:val="center"/>
          </w:tcPr>
          <w:p>
            <w:pPr>
              <w:spacing w:after="0"/>
            </w:pPr>
            <w:r/>
            <w:r>
              <w:rPr>
                <w:rFonts w:ascii="Calibri" w:hAnsi="Calibri"/>
                <w:b w:val="0"/>
                <w:color w:val="333537"/>
                <w:sz w:val="13"/>
              </w:rPr>
              <w:t>docs/adr/ADR-087-protected-side-artifact-boundary.md</w:t>
            </w:r>
          </w:p>
        </w:tc>
      </w:tr>
      <w:tr>
        <w:tc>
          <w:tcPr>
            <w:tcW w:type="dxa" w:w="900"/>
            <w:vAlign w:val="center"/>
          </w:tcPr>
          <w:p>
            <w:pPr>
              <w:spacing w:after="0"/>
            </w:pPr>
            <w:r/>
            <w:r>
              <w:rPr>
                <w:rFonts w:ascii="Calibri" w:hAnsi="Calibri"/>
                <w:b w:val="0"/>
                <w:color w:val="333537"/>
                <w:sz w:val="13"/>
              </w:rPr>
              <w:t>ADR-088</w:t>
            </w:r>
          </w:p>
        </w:tc>
        <w:tc>
          <w:tcPr>
            <w:tcW w:type="dxa" w:w="5000"/>
            <w:vAlign w:val="center"/>
          </w:tcPr>
          <w:p>
            <w:pPr>
              <w:spacing w:after="0"/>
            </w:pPr>
            <w:r/>
            <w:r>
              <w:rPr>
                <w:rFonts w:ascii="Calibri" w:hAnsi="Calibri"/>
                <w:b w:val="0"/>
                <w:color w:val="333537"/>
                <w:sz w:val="13"/>
              </w:rPr>
              <w:t>ADR-088 — Adımlı doğrulama ve kalıcı ilerleme kanıtı</w:t>
            </w:r>
          </w:p>
        </w:tc>
        <w:tc>
          <w:tcPr>
            <w:tcW w:type="dxa" w:w="3460"/>
            <w:vAlign w:val="center"/>
          </w:tcPr>
          <w:p>
            <w:pPr>
              <w:spacing w:after="0"/>
            </w:pPr>
            <w:r/>
            <w:r>
              <w:rPr>
                <w:rFonts w:ascii="Calibri" w:hAnsi="Calibri"/>
                <w:b w:val="0"/>
                <w:color w:val="333537"/>
                <w:sz w:val="13"/>
              </w:rPr>
              <w:t>docs/adr/ADR-088-pr171-stepwise-validation-persistence.md</w:t>
            </w:r>
          </w:p>
        </w:tc>
      </w:tr>
      <w:tr>
        <w:tc>
          <w:tcPr>
            <w:tcW w:type="dxa" w:w="900"/>
            <w:vAlign w:val="center"/>
          </w:tcPr>
          <w:p>
            <w:pPr>
              <w:spacing w:after="0"/>
            </w:pPr>
            <w:r/>
            <w:r>
              <w:rPr>
                <w:rFonts w:ascii="Calibri" w:hAnsi="Calibri"/>
                <w:b w:val="0"/>
                <w:color w:val="333537"/>
                <w:sz w:val="13"/>
              </w:rPr>
              <w:t>ADR-089</w:t>
            </w:r>
          </w:p>
        </w:tc>
        <w:tc>
          <w:tcPr>
            <w:tcW w:type="dxa" w:w="5000"/>
            <w:vAlign w:val="center"/>
          </w:tcPr>
          <w:p>
            <w:pPr>
              <w:spacing w:after="0"/>
            </w:pPr>
            <w:r/>
            <w:r>
              <w:rPr>
                <w:rFonts w:ascii="Calibri" w:hAnsi="Calibri"/>
                <w:b w:val="0"/>
                <w:color w:val="333537"/>
                <w:sz w:val="13"/>
              </w:rPr>
              <w:t>ADR-089 — Gerçek Windows EFS/DPAPI ve paketli Electron kanıt mimarisi</w:t>
            </w:r>
          </w:p>
        </w:tc>
        <w:tc>
          <w:tcPr>
            <w:tcW w:type="dxa" w:w="3460"/>
            <w:vAlign w:val="center"/>
          </w:tcPr>
          <w:p>
            <w:pPr>
              <w:spacing w:after="0"/>
            </w:pPr>
            <w:r/>
            <w:r>
              <w:rPr>
                <w:rFonts w:ascii="Calibri" w:hAnsi="Calibri"/>
                <w:b w:val="0"/>
                <w:color w:val="333537"/>
                <w:sz w:val="13"/>
              </w:rPr>
              <w:t>docs/adr/ADR-089-real-windows-efs-dpapi-packaged-evidence.md</w:t>
            </w:r>
          </w:p>
        </w:tc>
      </w:tr>
      <w:tr>
        <w:tc>
          <w:tcPr>
            <w:tcW w:type="dxa" w:w="900"/>
            <w:vAlign w:val="center"/>
          </w:tcPr>
          <w:p>
            <w:pPr>
              <w:spacing w:after="0"/>
            </w:pPr>
            <w:r/>
            <w:r>
              <w:rPr>
                <w:rFonts w:ascii="Calibri" w:hAnsi="Calibri"/>
                <w:b w:val="0"/>
                <w:color w:val="333537"/>
                <w:sz w:val="13"/>
              </w:rPr>
              <w:t>ADR-090</w:t>
            </w:r>
          </w:p>
        </w:tc>
        <w:tc>
          <w:tcPr>
            <w:tcW w:type="dxa" w:w="5000"/>
            <w:vAlign w:val="center"/>
          </w:tcPr>
          <w:p>
            <w:pPr>
              <w:spacing w:after="0"/>
            </w:pPr>
            <w:r/>
            <w:r>
              <w:rPr>
                <w:rFonts w:ascii="Calibri" w:hAnsi="Calibri"/>
                <w:b w:val="0"/>
                <w:color w:val="333537"/>
                <w:sz w:val="13"/>
              </w:rPr>
              <w:t>ADR-090 — Windows evidence intake ve exact-source binding mimarisi</w:t>
            </w:r>
          </w:p>
        </w:tc>
        <w:tc>
          <w:tcPr>
            <w:tcW w:type="dxa" w:w="3460"/>
            <w:vAlign w:val="center"/>
          </w:tcPr>
          <w:p>
            <w:pPr>
              <w:spacing w:after="0"/>
            </w:pPr>
            <w:r/>
            <w:r>
              <w:rPr>
                <w:rFonts w:ascii="Calibri" w:hAnsi="Calibri"/>
                <w:b w:val="0"/>
                <w:color w:val="333537"/>
                <w:sz w:val="13"/>
              </w:rPr>
              <w:t>docs/adr/ADR-090-windows-evidence-intake-and-source-binding.md</w:t>
            </w:r>
          </w:p>
        </w:tc>
      </w:tr>
      <w:tr>
        <w:tc>
          <w:tcPr>
            <w:tcW w:type="dxa" w:w="900"/>
            <w:vAlign w:val="center"/>
          </w:tcPr>
          <w:p>
            <w:pPr>
              <w:spacing w:after="0"/>
            </w:pPr>
            <w:r/>
            <w:r>
              <w:rPr>
                <w:rFonts w:ascii="Calibri" w:hAnsi="Calibri"/>
                <w:b w:val="0"/>
                <w:color w:val="333537"/>
                <w:sz w:val="13"/>
              </w:rPr>
              <w:t>ADR-091</w:t>
            </w:r>
          </w:p>
        </w:tc>
        <w:tc>
          <w:tcPr>
            <w:tcW w:type="dxa" w:w="5000"/>
            <w:vAlign w:val="center"/>
          </w:tcPr>
          <w:p>
            <w:pPr>
              <w:spacing w:after="0"/>
            </w:pPr>
            <w:r/>
            <w:r>
              <w:rPr>
                <w:rFonts w:ascii="Calibri" w:hAnsi="Calibri"/>
                <w:b w:val="0"/>
                <w:color w:val="333537"/>
                <w:sz w:val="13"/>
              </w:rPr>
              <w:t>ADR-091 — OPEN-021 EFS-only gerçek Windows kanıt mimarisi</w:t>
            </w:r>
          </w:p>
        </w:tc>
        <w:tc>
          <w:tcPr>
            <w:tcW w:type="dxa" w:w="3460"/>
            <w:vAlign w:val="center"/>
          </w:tcPr>
          <w:p>
            <w:pPr>
              <w:spacing w:after="0"/>
            </w:pPr>
            <w:r/>
            <w:r>
              <w:rPr>
                <w:rFonts w:ascii="Calibri" w:hAnsi="Calibri"/>
                <w:b w:val="0"/>
                <w:color w:val="333537"/>
                <w:sz w:val="13"/>
              </w:rPr>
              <w:t>docs/adr/ADR-091-open021-efs-only-real-windows-proof.md</w:t>
            </w:r>
          </w:p>
        </w:tc>
      </w:tr>
      <w:tr>
        <w:tc>
          <w:tcPr>
            <w:tcW w:type="dxa" w:w="900"/>
            <w:vAlign w:val="center"/>
          </w:tcPr>
          <w:p>
            <w:pPr>
              <w:spacing w:after="0"/>
            </w:pPr>
            <w:r/>
            <w:r>
              <w:rPr>
                <w:rFonts w:ascii="Calibri" w:hAnsi="Calibri"/>
                <w:b w:val="0"/>
                <w:color w:val="333537"/>
                <w:sz w:val="13"/>
              </w:rPr>
              <w:t>ADR-092</w:t>
            </w:r>
          </w:p>
        </w:tc>
        <w:tc>
          <w:tcPr>
            <w:tcW w:type="dxa" w:w="5000"/>
            <w:vAlign w:val="center"/>
          </w:tcPr>
          <w:p>
            <w:pPr>
              <w:spacing w:after="0"/>
            </w:pPr>
            <w:r/>
            <w:r>
              <w:rPr>
                <w:rFonts w:ascii="Calibri" w:hAnsi="Calibri"/>
                <w:b w:val="0"/>
                <w:color w:val="333537"/>
                <w:sz w:val="13"/>
              </w:rPr>
              <w:t>ADR-092 — OPEN-022 safeStorage/DPAPI ve Protected Side Artifact gerçek Windows kanıt mimarisi</w:t>
            </w:r>
          </w:p>
        </w:tc>
        <w:tc>
          <w:tcPr>
            <w:tcW w:type="dxa" w:w="3460"/>
            <w:vAlign w:val="center"/>
          </w:tcPr>
          <w:p>
            <w:pPr>
              <w:spacing w:after="0"/>
            </w:pPr>
            <w:r/>
            <w:r>
              <w:rPr>
                <w:rFonts w:ascii="Calibri" w:hAnsi="Calibri"/>
                <w:b w:val="0"/>
                <w:color w:val="333537"/>
                <w:sz w:val="13"/>
              </w:rPr>
              <w:t>docs/adr/ADR-092-open022-dpapi-protected-side-artifact-proof.md</w:t>
            </w:r>
          </w:p>
        </w:tc>
      </w:tr>
      <w:tr>
        <w:tc>
          <w:tcPr>
            <w:tcW w:type="dxa" w:w="900"/>
            <w:vAlign w:val="center"/>
          </w:tcPr>
          <w:p>
            <w:pPr>
              <w:spacing w:after="0"/>
            </w:pPr>
            <w:r/>
            <w:r>
              <w:rPr>
                <w:rFonts w:ascii="Calibri" w:hAnsi="Calibri"/>
                <w:b w:val="0"/>
                <w:color w:val="333537"/>
                <w:sz w:val="13"/>
              </w:rPr>
              <w:t>ADR-093</w:t>
            </w:r>
          </w:p>
        </w:tc>
        <w:tc>
          <w:tcPr>
            <w:tcW w:type="dxa" w:w="5000"/>
            <w:vAlign w:val="center"/>
          </w:tcPr>
          <w:p>
            <w:pPr>
              <w:spacing w:after="0"/>
            </w:pPr>
            <w:r/>
            <w:r>
              <w:rPr>
                <w:rFonts w:ascii="Calibri" w:hAnsi="Calibri"/>
                <w:b w:val="0"/>
                <w:color w:val="333537"/>
                <w:sz w:val="13"/>
              </w:rPr>
              <w:t>ADR-093 — Birleşik Bronze gerçek Windows güvenlik yaşam döngüsü</w:t>
            </w:r>
          </w:p>
        </w:tc>
        <w:tc>
          <w:tcPr>
            <w:tcW w:type="dxa" w:w="3460"/>
            <w:vAlign w:val="center"/>
          </w:tcPr>
          <w:p>
            <w:pPr>
              <w:spacing w:after="0"/>
            </w:pPr>
            <w:r/>
            <w:r>
              <w:rPr>
                <w:rFonts w:ascii="Calibri" w:hAnsi="Calibri"/>
                <w:b w:val="0"/>
                <w:color w:val="333537"/>
                <w:sz w:val="13"/>
              </w:rPr>
              <w:t>docs/adr/ADR-093-unified-bronze-windows-security-lifecycle.md</w:t>
            </w:r>
          </w:p>
        </w:tc>
      </w:tr>
      <w:tr>
        <w:tc>
          <w:tcPr>
            <w:tcW w:type="dxa" w:w="900"/>
            <w:vAlign w:val="center"/>
          </w:tcPr>
          <w:p>
            <w:pPr>
              <w:spacing w:after="0"/>
            </w:pPr>
            <w:r/>
            <w:r>
              <w:rPr>
                <w:rFonts w:ascii="Calibri" w:hAnsi="Calibri"/>
                <w:b w:val="0"/>
                <w:color w:val="333537"/>
                <w:sz w:val="13"/>
              </w:rPr>
              <w:t>ADR-094</w:t>
            </w:r>
          </w:p>
        </w:tc>
        <w:tc>
          <w:tcPr>
            <w:tcW w:type="dxa" w:w="5000"/>
            <w:vAlign w:val="center"/>
          </w:tcPr>
          <w:p>
            <w:pPr>
              <w:spacing w:after="0"/>
            </w:pPr>
            <w:r/>
            <w:r>
              <w:rPr>
                <w:rFonts w:ascii="Calibri" w:hAnsi="Calibri"/>
                <w:b w:val="0"/>
                <w:color w:val="333537"/>
                <w:sz w:val="13"/>
              </w:rPr>
              <w:t>ADR-094 — Isolated Windows packager bootstrap ve PowerShell 5.1 kanıt kodlaması</w:t>
            </w:r>
          </w:p>
        </w:tc>
        <w:tc>
          <w:tcPr>
            <w:tcW w:type="dxa" w:w="3460"/>
            <w:vAlign w:val="center"/>
          </w:tcPr>
          <w:p>
            <w:pPr>
              <w:spacing w:after="0"/>
            </w:pPr>
            <w:r/>
            <w:r>
              <w:rPr>
                <w:rFonts w:ascii="Calibri" w:hAnsi="Calibri"/>
                <w:b w:val="0"/>
                <w:color w:val="333537"/>
                <w:sz w:val="13"/>
              </w:rPr>
              <w:t>docs/adr/ADR-094-windows-packager-bootstrap-and-ps51-evidence-encoding.md</w:t>
            </w:r>
          </w:p>
        </w:tc>
      </w:tr>
      <w:tr>
        <w:tc>
          <w:tcPr>
            <w:tcW w:type="dxa" w:w="900"/>
            <w:vAlign w:val="center"/>
          </w:tcPr>
          <w:p>
            <w:pPr>
              <w:spacing w:after="0"/>
            </w:pPr>
            <w:r/>
            <w:r>
              <w:rPr>
                <w:rFonts w:ascii="Calibri" w:hAnsi="Calibri"/>
                <w:b w:val="0"/>
                <w:color w:val="333537"/>
                <w:sz w:val="13"/>
              </w:rPr>
              <w:t>ADR-095</w:t>
            </w:r>
          </w:p>
        </w:tc>
        <w:tc>
          <w:tcPr>
            <w:tcW w:type="dxa" w:w="5000"/>
            <w:vAlign w:val="center"/>
          </w:tcPr>
          <w:p>
            <w:pPr>
              <w:spacing w:after="0"/>
            </w:pPr>
            <w:r/>
            <w:r>
              <w:rPr>
                <w:rFonts w:ascii="Calibri" w:hAnsi="Calibri"/>
                <w:b w:val="0"/>
                <w:color w:val="333537"/>
                <w:sz w:val="13"/>
              </w:rPr>
              <w:t>ADR-095 — Windows package lifecycle öncesi workspace build prerequisite</w:t>
            </w:r>
          </w:p>
        </w:tc>
        <w:tc>
          <w:tcPr>
            <w:tcW w:type="dxa" w:w="3460"/>
            <w:vAlign w:val="center"/>
          </w:tcPr>
          <w:p>
            <w:pPr>
              <w:spacing w:after="0"/>
            </w:pPr>
            <w:r/>
            <w:r>
              <w:rPr>
                <w:rFonts w:ascii="Calibri" w:hAnsi="Calibri"/>
                <w:b w:val="0"/>
                <w:color w:val="333537"/>
                <w:sz w:val="13"/>
              </w:rPr>
              <w:t>docs/adr/ADR-095-workspace-package-build-before-windows-package.md</w:t>
            </w:r>
          </w:p>
        </w:tc>
      </w:tr>
      <w:tr>
        <w:tc>
          <w:tcPr>
            <w:tcW w:type="dxa" w:w="900"/>
            <w:vAlign w:val="center"/>
          </w:tcPr>
          <w:p>
            <w:pPr>
              <w:spacing w:after="0"/>
            </w:pPr>
            <w:r/>
            <w:r>
              <w:rPr>
                <w:rFonts w:ascii="Calibri" w:hAnsi="Calibri"/>
                <w:b w:val="0"/>
                <w:color w:val="333537"/>
                <w:sz w:val="13"/>
              </w:rPr>
              <w:t>ADR-096</w:t>
            </w:r>
          </w:p>
        </w:tc>
        <w:tc>
          <w:tcPr>
            <w:tcW w:type="dxa" w:w="5000"/>
            <w:vAlign w:val="center"/>
          </w:tcPr>
          <w:p>
            <w:pPr>
              <w:spacing w:after="0"/>
            </w:pPr>
            <w:r/>
            <w:r>
              <w:rPr>
                <w:rFonts w:ascii="Calibri" w:hAnsi="Calibri"/>
                <w:b w:val="0"/>
                <w:color w:val="333537"/>
                <w:sz w:val="13"/>
              </w:rPr>
              <w:t>ADR-096 — Preload global lifecycle typing</w:t>
            </w:r>
          </w:p>
        </w:tc>
        <w:tc>
          <w:tcPr>
            <w:tcW w:type="dxa" w:w="3460"/>
            <w:vAlign w:val="center"/>
          </w:tcPr>
          <w:p>
            <w:pPr>
              <w:spacing w:after="0"/>
            </w:pPr>
            <w:r/>
            <w:r>
              <w:rPr>
                <w:rFonts w:ascii="Calibri" w:hAnsi="Calibri"/>
                <w:b w:val="0"/>
                <w:color w:val="333537"/>
                <w:sz w:val="13"/>
              </w:rPr>
              <w:t>docs/adr/ADR-096-preload-global-lifecycle-typing.md</w:t>
            </w:r>
          </w:p>
        </w:tc>
      </w:tr>
      <w:tr>
        <w:tc>
          <w:tcPr>
            <w:tcW w:type="dxa" w:w="900"/>
            <w:vAlign w:val="center"/>
          </w:tcPr>
          <w:p>
            <w:pPr>
              <w:spacing w:after="0"/>
            </w:pPr>
            <w:r/>
            <w:r>
              <w:rPr>
                <w:rFonts w:ascii="Calibri" w:hAnsi="Calibri"/>
                <w:b w:val="0"/>
                <w:color w:val="333537"/>
                <w:sz w:val="13"/>
              </w:rPr>
              <w:t>ADR-097</w:t>
            </w:r>
          </w:p>
        </w:tc>
        <w:tc>
          <w:tcPr>
            <w:tcW w:type="dxa" w:w="5000"/>
            <w:vAlign w:val="center"/>
          </w:tcPr>
          <w:p>
            <w:pPr>
              <w:spacing w:after="0"/>
            </w:pPr>
            <w:r/>
            <w:r>
              <w:rPr>
                <w:rFonts w:ascii="Calibri" w:hAnsi="Calibri"/>
                <w:b w:val="0"/>
                <w:color w:val="333537"/>
                <w:sz w:val="13"/>
              </w:rPr>
              <w:t>ADR-097 — Preload CommonJS staging graph</w:t>
            </w:r>
          </w:p>
        </w:tc>
        <w:tc>
          <w:tcPr>
            <w:tcW w:type="dxa" w:w="3460"/>
            <w:vAlign w:val="center"/>
          </w:tcPr>
          <w:p>
            <w:pPr>
              <w:spacing w:after="0"/>
            </w:pPr>
            <w:r/>
            <w:r>
              <w:rPr>
                <w:rFonts w:ascii="Calibri" w:hAnsi="Calibri"/>
                <w:b w:val="0"/>
                <w:color w:val="333537"/>
                <w:sz w:val="13"/>
              </w:rPr>
              <w:t>docs/adr/ADR-097-preload-commonjs-staging-graph.md</w:t>
            </w:r>
          </w:p>
        </w:tc>
      </w:tr>
      <w:tr>
        <w:tc>
          <w:tcPr>
            <w:tcW w:type="dxa" w:w="900"/>
            <w:vAlign w:val="center"/>
          </w:tcPr>
          <w:p>
            <w:pPr>
              <w:spacing w:after="0"/>
            </w:pPr>
            <w:r/>
            <w:r>
              <w:rPr>
                <w:rFonts w:ascii="Calibri" w:hAnsi="Calibri"/>
                <w:b w:val="0"/>
                <w:color w:val="333537"/>
                <w:sz w:val="13"/>
              </w:rPr>
              <w:t>ADR-098</w:t>
            </w:r>
          </w:p>
        </w:tc>
        <w:tc>
          <w:tcPr>
            <w:tcW w:type="dxa" w:w="5000"/>
            <w:vAlign w:val="center"/>
          </w:tcPr>
          <w:p>
            <w:pPr>
              <w:spacing w:after="0"/>
            </w:pPr>
            <w:r/>
            <w:r>
              <w:rPr>
                <w:rFonts w:ascii="Calibri" w:hAnsi="Calibri"/>
                <w:b w:val="0"/>
                <w:color w:val="333537"/>
                <w:sz w:val="13"/>
              </w:rPr>
              <w:t>ADR-098 — Deterministik NSIS lisans kaynak senkronizasyonu</w:t>
            </w:r>
          </w:p>
        </w:tc>
        <w:tc>
          <w:tcPr>
            <w:tcW w:type="dxa" w:w="3460"/>
            <w:vAlign w:val="center"/>
          </w:tcPr>
          <w:p>
            <w:pPr>
              <w:spacing w:after="0"/>
            </w:pPr>
            <w:r/>
            <w:r>
              <w:rPr>
                <w:rFonts w:ascii="Calibri" w:hAnsi="Calibri"/>
                <w:b w:val="0"/>
                <w:color w:val="333537"/>
                <w:sz w:val="13"/>
              </w:rPr>
              <w:t>docs/adr/ADR-098-deterministic-nsis-license-source-sync.md</w:t>
            </w:r>
          </w:p>
        </w:tc>
      </w:tr>
      <w:tr>
        <w:tc>
          <w:tcPr>
            <w:tcW w:type="dxa" w:w="900"/>
            <w:vAlign w:val="center"/>
          </w:tcPr>
          <w:p>
            <w:pPr>
              <w:spacing w:after="0"/>
            </w:pPr>
            <w:r/>
            <w:r>
              <w:rPr>
                <w:rFonts w:ascii="Calibri" w:hAnsi="Calibri"/>
                <w:b w:val="0"/>
                <w:color w:val="333537"/>
                <w:sz w:val="13"/>
              </w:rPr>
              <w:t>ADR-099</w:t>
            </w:r>
          </w:p>
        </w:tc>
        <w:tc>
          <w:tcPr>
            <w:tcW w:type="dxa" w:w="5000"/>
            <w:vAlign w:val="center"/>
          </w:tcPr>
          <w:p>
            <w:pPr>
              <w:spacing w:after="0"/>
            </w:pPr>
            <w:r/>
            <w:r>
              <w:rPr>
                <w:rFonts w:ascii="Calibri" w:hAnsi="Calibri"/>
                <w:b w:val="0"/>
                <w:color w:val="333537"/>
                <w:sz w:val="13"/>
              </w:rPr>
              <w:t>ADR-099 — Fail-closed Windows EFS, safeStorage and startup evidence</w:t>
            </w:r>
          </w:p>
        </w:tc>
        <w:tc>
          <w:tcPr>
            <w:tcW w:type="dxa" w:w="3460"/>
            <w:vAlign w:val="center"/>
          </w:tcPr>
          <w:p>
            <w:pPr>
              <w:spacing w:after="0"/>
            </w:pPr>
            <w:r/>
            <w:r>
              <w:rPr>
                <w:rFonts w:ascii="Calibri" w:hAnsi="Calibri"/>
                <w:b w:val="0"/>
                <w:color w:val="333537"/>
                <w:sz w:val="13"/>
              </w:rPr>
              <w:t>docs/adr/ADR-099-fail-closed-windows-efs-safestorage-startup-evidence.md</w:t>
            </w:r>
          </w:p>
        </w:tc>
      </w:tr>
      <w:tr>
        <w:tc>
          <w:tcPr>
            <w:tcW w:type="dxa" w:w="900"/>
            <w:vAlign w:val="center"/>
          </w:tcPr>
          <w:p>
            <w:pPr>
              <w:spacing w:after="0"/>
            </w:pPr>
            <w:r/>
            <w:r>
              <w:rPr>
                <w:rFonts w:ascii="Calibri" w:hAnsi="Calibri"/>
                <w:b w:val="0"/>
                <w:color w:val="333537"/>
                <w:sz w:val="13"/>
              </w:rPr>
              <w:t>ADR-100</w:t>
            </w:r>
          </w:p>
        </w:tc>
        <w:tc>
          <w:tcPr>
            <w:tcW w:type="dxa" w:w="5000"/>
            <w:vAlign w:val="center"/>
          </w:tcPr>
          <w:p>
            <w:pPr>
              <w:spacing w:after="0"/>
            </w:pPr>
            <w:r/>
            <w:r>
              <w:rPr>
                <w:rFonts w:ascii="Calibri" w:hAnsi="Calibri"/>
                <w:b w:val="0"/>
                <w:color w:val="333537"/>
                <w:sz w:val="13"/>
              </w:rPr>
              <w:t>ADR-100 — Platform-actual conversation capacity gate</w:t>
            </w:r>
          </w:p>
        </w:tc>
        <w:tc>
          <w:tcPr>
            <w:tcW w:type="dxa" w:w="3460"/>
            <w:vAlign w:val="center"/>
          </w:tcPr>
          <w:p>
            <w:pPr>
              <w:spacing w:after="0"/>
            </w:pPr>
            <w:r/>
            <w:r>
              <w:rPr>
                <w:rFonts w:ascii="Calibri" w:hAnsi="Calibri"/>
                <w:b w:val="0"/>
                <w:color w:val="333537"/>
                <w:sz w:val="13"/>
              </w:rPr>
              <w:t>docs/adr/ADR-100-platform-actual-conversation-capacity-gate.md</w:t>
            </w:r>
          </w:p>
        </w:tc>
      </w:tr>
      <w:tr>
        <w:tc>
          <w:tcPr>
            <w:tcW w:type="dxa" w:w="900"/>
            <w:vAlign w:val="center"/>
          </w:tcPr>
          <w:p>
            <w:pPr>
              <w:spacing w:after="0"/>
            </w:pPr>
            <w:r/>
            <w:r>
              <w:rPr>
                <w:rFonts w:ascii="Calibri" w:hAnsi="Calibri"/>
                <w:b w:val="0"/>
                <w:color w:val="333537"/>
                <w:sz w:val="13"/>
              </w:rPr>
              <w:t>ADR-101</w:t>
            </w:r>
          </w:p>
        </w:tc>
        <w:tc>
          <w:tcPr>
            <w:tcW w:type="dxa" w:w="5000"/>
            <w:vAlign w:val="center"/>
          </w:tcPr>
          <w:p>
            <w:pPr>
              <w:spacing w:after="0"/>
            </w:pPr>
            <w:r/>
            <w:r>
              <w:rPr>
                <w:rFonts w:ascii="Calibri" w:hAnsi="Calibri"/>
                <w:b w:val="0"/>
                <w:color w:val="333537"/>
                <w:sz w:val="13"/>
              </w:rPr>
              <w:t>ADR-101 — Protected Device Identity Before Device-Bound Maintenance Restore</w:t>
            </w:r>
          </w:p>
        </w:tc>
        <w:tc>
          <w:tcPr>
            <w:tcW w:type="dxa" w:w="3460"/>
            <w:vAlign w:val="center"/>
          </w:tcPr>
          <w:p>
            <w:pPr>
              <w:spacing w:after="0"/>
            </w:pPr>
            <w:r/>
            <w:r>
              <w:rPr>
                <w:rFonts w:ascii="Calibri" w:hAnsi="Calibri"/>
                <w:b w:val="0"/>
                <w:color w:val="333537"/>
                <w:sz w:val="13"/>
              </w:rPr>
              <w:t>docs/adr/ADR-101-protected-device-identity-before-device-bound-maintenance-restore.md</w:t>
            </w:r>
          </w:p>
        </w:tc>
      </w:tr>
      <w:tr>
        <w:tc>
          <w:tcPr>
            <w:tcW w:type="dxa" w:w="900"/>
            <w:vAlign w:val="center"/>
          </w:tcPr>
          <w:p>
            <w:pPr>
              <w:spacing w:after="0"/>
            </w:pPr>
            <w:r/>
            <w:r>
              <w:rPr>
                <w:rFonts w:ascii="Calibri" w:hAnsi="Calibri"/>
                <w:b w:val="0"/>
                <w:color w:val="333537"/>
                <w:sz w:val="13"/>
              </w:rPr>
              <w:t>ADR-102</w:t>
            </w:r>
          </w:p>
        </w:tc>
        <w:tc>
          <w:tcPr>
            <w:tcW w:type="dxa" w:w="5000"/>
            <w:vAlign w:val="center"/>
          </w:tcPr>
          <w:p>
            <w:pPr>
              <w:spacing w:after="0"/>
            </w:pPr>
            <w:r/>
            <w:r>
              <w:rPr>
                <w:rFonts w:ascii="Calibri" w:hAnsi="Calibri"/>
                <w:b w:val="0"/>
                <w:color w:val="333537"/>
                <w:sz w:val="13"/>
              </w:rPr>
              <w:t>ADR-102 — Build227 Windows Persistence and Closure Remediation</w:t>
            </w:r>
          </w:p>
        </w:tc>
        <w:tc>
          <w:tcPr>
            <w:tcW w:type="dxa" w:w="3460"/>
            <w:vAlign w:val="center"/>
          </w:tcPr>
          <w:p>
            <w:pPr>
              <w:spacing w:after="0"/>
            </w:pPr>
            <w:r/>
            <w:r>
              <w:rPr>
                <w:rFonts w:ascii="Calibri" w:hAnsi="Calibri"/>
                <w:b w:val="0"/>
                <w:color w:val="333537"/>
                <w:sz w:val="13"/>
              </w:rPr>
              <w:t>docs/adr/ADR-102-build227-windows-persistence-and-closure-remediation.md</w:t>
            </w:r>
          </w:p>
        </w:tc>
      </w:tr>
      <w:tr>
        <w:tc>
          <w:tcPr>
            <w:tcW w:type="dxa" w:w="900"/>
            <w:vAlign w:val="center"/>
          </w:tcPr>
          <w:p>
            <w:pPr>
              <w:spacing w:after="0"/>
            </w:pPr>
            <w:r/>
            <w:r>
              <w:rPr>
                <w:rFonts w:ascii="Calibri" w:hAnsi="Calibri"/>
                <w:b w:val="0"/>
                <w:color w:val="333537"/>
                <w:sz w:val="13"/>
              </w:rPr>
              <w:t>ADR-103</w:t>
            </w:r>
          </w:p>
        </w:tc>
        <w:tc>
          <w:tcPr>
            <w:tcW w:type="dxa" w:w="5000"/>
            <w:vAlign w:val="center"/>
          </w:tcPr>
          <w:p>
            <w:pPr>
              <w:spacing w:after="0"/>
            </w:pPr>
            <w:r/>
            <w:r>
              <w:rPr>
                <w:rFonts w:ascii="Calibri" w:hAnsi="Calibri"/>
                <w:b w:val="0"/>
                <w:color w:val="333537"/>
                <w:sz w:val="13"/>
              </w:rPr>
              <w:t>ADR-103 — Build227 Evidence-Bound Bronze OPEN Closure</w:t>
            </w:r>
          </w:p>
        </w:tc>
        <w:tc>
          <w:tcPr>
            <w:tcW w:type="dxa" w:w="3460"/>
            <w:vAlign w:val="center"/>
          </w:tcPr>
          <w:p>
            <w:pPr>
              <w:spacing w:after="0"/>
            </w:pPr>
            <w:r/>
            <w:r>
              <w:rPr>
                <w:rFonts w:ascii="Calibri" w:hAnsi="Calibri"/>
                <w:b w:val="0"/>
                <w:color w:val="333537"/>
                <w:sz w:val="13"/>
              </w:rPr>
              <w:t>docs/adr/ADR-103-build227-evidence-bound-bronze-open-closure.md</w:t>
            </w:r>
          </w:p>
        </w:tc>
      </w:tr>
      <w:tr>
        <w:tc>
          <w:tcPr>
            <w:tcW w:type="dxa" w:w="900"/>
            <w:vAlign w:val="center"/>
          </w:tcPr>
          <w:p>
            <w:pPr>
              <w:spacing w:after="0"/>
            </w:pPr>
            <w:r/>
            <w:r>
              <w:rPr>
                <w:rFonts w:ascii="Calibri" w:hAnsi="Calibri"/>
                <w:b w:val="0"/>
                <w:color w:val="333537"/>
                <w:sz w:val="13"/>
              </w:rPr>
              <w:t>ADR-104</w:t>
            </w:r>
          </w:p>
        </w:tc>
        <w:tc>
          <w:tcPr>
            <w:tcW w:type="dxa" w:w="5000"/>
            <w:vAlign w:val="center"/>
          </w:tcPr>
          <w:p>
            <w:pPr>
              <w:spacing w:after="0"/>
            </w:pPr>
            <w:r/>
            <w:r>
              <w:rPr>
                <w:rFonts w:ascii="Calibri" w:hAnsi="Calibri"/>
                <w:b w:val="0"/>
                <w:color w:val="333537"/>
                <w:sz w:val="13"/>
              </w:rPr>
              <w:t>ADR-104 — Monthly Channel Release Identity</w:t>
            </w:r>
          </w:p>
        </w:tc>
        <w:tc>
          <w:tcPr>
            <w:tcW w:type="dxa" w:w="3460"/>
            <w:vAlign w:val="center"/>
          </w:tcPr>
          <w:p>
            <w:pPr>
              <w:spacing w:after="0"/>
            </w:pPr>
            <w:r/>
            <w:r>
              <w:rPr>
                <w:rFonts w:ascii="Calibri" w:hAnsi="Calibri"/>
                <w:b w:val="0"/>
                <w:color w:val="333537"/>
                <w:sz w:val="13"/>
              </w:rPr>
              <w:t>docs/adr/ADR-104-monthly-channel-release-identity.md</w:t>
            </w:r>
          </w:p>
        </w:tc>
      </w:tr>
      <w:tr>
        <w:tc>
          <w:tcPr>
            <w:tcW w:type="dxa" w:w="900"/>
            <w:vAlign w:val="center"/>
          </w:tcPr>
          <w:p>
            <w:pPr>
              <w:spacing w:after="0"/>
            </w:pPr>
            <w:r/>
            <w:r>
              <w:rPr>
                <w:rFonts w:ascii="Calibri" w:hAnsi="Calibri"/>
                <w:b w:val="0"/>
                <w:color w:val="333537"/>
                <w:sz w:val="13"/>
              </w:rPr>
              <w:t>ADR-105</w:t>
            </w:r>
          </w:p>
        </w:tc>
        <w:tc>
          <w:tcPr>
            <w:tcW w:type="dxa" w:w="5000"/>
            <w:vAlign w:val="center"/>
          </w:tcPr>
          <w:p>
            <w:pPr>
              <w:spacing w:after="0"/>
            </w:pPr>
            <w:r/>
            <w:r>
              <w:rPr>
                <w:rFonts w:ascii="Calibri" w:hAnsi="Calibri"/>
                <w:b w:val="0"/>
                <w:color w:val="333537"/>
                <w:sz w:val="13"/>
              </w:rPr>
              <w:t>ADR-105 — Single Platform Policy Kernel</w:t>
            </w:r>
          </w:p>
        </w:tc>
        <w:tc>
          <w:tcPr>
            <w:tcW w:type="dxa" w:w="3460"/>
            <w:vAlign w:val="center"/>
          </w:tcPr>
          <w:p>
            <w:pPr>
              <w:spacing w:after="0"/>
            </w:pPr>
            <w:r/>
            <w:r>
              <w:rPr>
                <w:rFonts w:ascii="Calibri" w:hAnsi="Calibri"/>
                <w:b w:val="0"/>
                <w:color w:val="333537"/>
                <w:sz w:val="13"/>
              </w:rPr>
              <w:t>docs/adr/ADR-105-platform-policy-kernel.md</w:t>
            </w:r>
          </w:p>
        </w:tc>
      </w:tr>
      <w:tr>
        <w:tc>
          <w:tcPr>
            <w:tcW w:type="dxa" w:w="900"/>
            <w:vAlign w:val="center"/>
          </w:tcPr>
          <w:p>
            <w:pPr>
              <w:spacing w:after="0"/>
            </w:pPr>
            <w:r/>
            <w:r>
              <w:rPr>
                <w:rFonts w:ascii="Calibri" w:hAnsi="Calibri"/>
                <w:b w:val="0"/>
                <w:color w:val="333537"/>
                <w:sz w:val="13"/>
              </w:rPr>
              <w:t>ADR-106</w:t>
            </w:r>
          </w:p>
        </w:tc>
        <w:tc>
          <w:tcPr>
            <w:tcW w:type="dxa" w:w="5000"/>
            <w:vAlign w:val="center"/>
          </w:tcPr>
          <w:p>
            <w:pPr>
              <w:spacing w:after="0"/>
            </w:pPr>
            <w:r/>
            <w:r>
              <w:rPr>
                <w:rFonts w:ascii="Calibri" w:hAnsi="Calibri"/>
                <w:b w:val="0"/>
                <w:color w:val="333537"/>
                <w:sz w:val="13"/>
              </w:rPr>
              <w:t>ADR-106 — Headless Core Service Boundary</w:t>
            </w:r>
          </w:p>
        </w:tc>
        <w:tc>
          <w:tcPr>
            <w:tcW w:type="dxa" w:w="3460"/>
            <w:vAlign w:val="center"/>
          </w:tcPr>
          <w:p>
            <w:pPr>
              <w:spacing w:after="0"/>
            </w:pPr>
            <w:r/>
            <w:r>
              <w:rPr>
                <w:rFonts w:ascii="Calibri" w:hAnsi="Calibri"/>
                <w:b w:val="0"/>
                <w:color w:val="333537"/>
                <w:sz w:val="13"/>
              </w:rPr>
              <w:t>docs/adr/ADR-106-headless-core-service-boundary.md</w:t>
            </w:r>
          </w:p>
        </w:tc>
      </w:tr>
    </w:tbl>
    <w:p>
      <w:pPr>
        <w:pStyle w:val="Heading1"/>
        <w:keepNext/>
      </w:pPr>
      <w:r>
        <w:t>15. Kanonik kurallar — 208 kayıt</w:t>
      </w:r>
    </w:p>
    <w:tbl>
      <w:tblPr>
        <w:tblStyle w:val="TableGrid"/>
        <w:tblW w:type="dxa" w:w="9360"/>
        <w:jc w:val="center"/>
        <w:tblLayout w:type="fixed"/>
        <w:tblLook w:firstColumn="1" w:firstRow="1" w:lastColumn="0" w:lastRow="0" w:noHBand="0" w:noVBand="1" w:val="04A0"/>
      </w:tblPr>
      <w:tblGrid>
        <w:gridCol w:w="850"/>
        <w:gridCol w:w="1100"/>
        <w:gridCol w:w="7410"/>
      </w:tblGrid>
      <w:tr>
        <w:tc>
          <w:tcPr>
            <w:tcW w:type="dxa" w:w="850"/>
            <w:shd w:fill="7C4D20"/>
            <w:vAlign w:val="center"/>
          </w:tcPr>
          <w:p>
            <w:pPr>
              <w:spacing w:after="0"/>
            </w:pPr>
            <w:r/>
            <w:r>
              <w:rPr>
                <w:rFonts w:ascii="Calibri" w:hAnsi="Calibri"/>
                <w:b/>
                <w:color w:val="FFFFFF"/>
                <w:sz w:val="14"/>
              </w:rPr>
              <w:t>ID</w:t>
            </w:r>
          </w:p>
        </w:tc>
        <w:tc>
          <w:tcPr>
            <w:tcW w:type="dxa" w:w="1100"/>
            <w:shd w:fill="7C4D20"/>
            <w:vAlign w:val="center"/>
          </w:tcPr>
          <w:p>
            <w:pPr>
              <w:spacing w:after="0"/>
            </w:pPr>
            <w:r/>
            <w:r>
              <w:rPr>
                <w:rFonts w:ascii="Calibri" w:hAnsi="Calibri"/>
                <w:b/>
                <w:color w:val="FFFFFF"/>
                <w:sz w:val="14"/>
              </w:rPr>
              <w:t>Durum</w:t>
            </w:r>
          </w:p>
        </w:tc>
        <w:tc>
          <w:tcPr>
            <w:tcW w:type="dxa" w:w="7410"/>
            <w:shd w:fill="7C4D20"/>
            <w:vAlign w:val="center"/>
          </w:tcPr>
          <w:p>
            <w:pPr>
              <w:spacing w:after="0"/>
            </w:pPr>
            <w:r/>
            <w:r>
              <w:rPr>
                <w:rFonts w:ascii="Calibri" w:hAnsi="Calibri"/>
                <w:b/>
                <w:color w:val="FFFFFF"/>
                <w:sz w:val="14"/>
              </w:rPr>
              <w:t>Kural</w:t>
            </w:r>
          </w:p>
        </w:tc>
      </w:tr>
      <w:tr>
        <w:tc>
          <w:tcPr>
            <w:tcW w:type="dxa" w:w="850"/>
            <w:vAlign w:val="center"/>
          </w:tcPr>
          <w:p>
            <w:pPr>
              <w:spacing w:after="0"/>
            </w:pPr>
            <w:r/>
            <w:r>
              <w:rPr>
                <w:rFonts w:ascii="Calibri" w:hAnsi="Calibri"/>
                <w:b w:val="0"/>
                <w:color w:val="333537"/>
                <w:sz w:val="14"/>
              </w:rPr>
              <w:t>PR-001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tc>
      </w:tr>
      <w:tr>
        <w:tc>
          <w:tcPr>
            <w:tcW w:type="dxa" w:w="850"/>
            <w:vAlign w:val="center"/>
          </w:tcPr>
          <w:p>
            <w:pPr>
              <w:spacing w:after="0"/>
            </w:pPr>
            <w:r/>
            <w:r>
              <w:rPr>
                <w:rFonts w:ascii="Calibri" w:hAnsi="Calibri"/>
                <w:b w:val="0"/>
                <w:color w:val="333537"/>
                <w:sz w:val="14"/>
              </w:rPr>
              <w:t>PR-002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tc>
      </w:tr>
      <w:tr>
        <w:tc>
          <w:tcPr>
            <w:tcW w:type="dxa" w:w="850"/>
            <w:vAlign w:val="center"/>
          </w:tcPr>
          <w:p>
            <w:pPr>
              <w:spacing w:after="0"/>
            </w:pPr>
            <w:r/>
            <w:r>
              <w:rPr>
                <w:rFonts w:ascii="Calibri" w:hAnsi="Calibri"/>
                <w:b w:val="0"/>
                <w:color w:val="333537"/>
                <w:sz w:val="14"/>
              </w:rPr>
              <w:t>PR-003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Sistemin kök iş varlığı Aile’dir; kişi, hesap, aile, aile dalı, hane ve üyelik ayrı kavramlardır.</w:t>
            </w:r>
          </w:p>
        </w:tc>
      </w:tr>
      <w:tr>
        <w:tc>
          <w:tcPr>
            <w:tcW w:type="dxa" w:w="850"/>
            <w:vAlign w:val="center"/>
          </w:tcPr>
          <w:p>
            <w:pPr>
              <w:spacing w:after="0"/>
            </w:pPr>
            <w:r/>
            <w:r>
              <w:rPr>
                <w:rFonts w:ascii="Calibri" w:hAnsi="Calibri"/>
                <w:b w:val="0"/>
                <w:color w:val="333537"/>
                <w:sz w:val="14"/>
              </w:rPr>
              <w:t>PR-004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kapsamı yalnız çekirdek aileyle sınırlı değildir; uygun rol, amaç ve süreyle yetkilendirilen diğer kişiler de sisteme dahil olabilir.</w:t>
            </w:r>
          </w:p>
        </w:tc>
      </w:tr>
      <w:tr>
        <w:tc>
          <w:tcPr>
            <w:tcW w:type="dxa" w:w="850"/>
            <w:vAlign w:val="center"/>
          </w:tcPr>
          <w:p>
            <w:pPr>
              <w:spacing w:after="0"/>
            </w:pPr>
            <w:r/>
            <w:r>
              <w:rPr>
                <w:rFonts w:ascii="Calibri" w:hAnsi="Calibri"/>
                <w:b w:val="0"/>
                <w:color w:val="333537"/>
                <w:sz w:val="14"/>
              </w:rPr>
              <w:t>PR-005</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Aktif ana ürün 16 modülden oluşur: Gösterge Paneli, Aile, Soy Ağacı, Zaman Tüneli, Önemli Günler, Arşiv, Finans, Sağlık, Yaşam Merkezi, Bildirim ve Otomasyon, Raporlama, Konum, Yetkiler, Yapay Zekâ, Dijital Miras ve Ayarlar.</w:t>
            </w:r>
          </w:p>
        </w:tc>
      </w:tr>
      <w:tr>
        <w:tc>
          <w:tcPr>
            <w:tcW w:type="dxa" w:w="850"/>
            <w:vAlign w:val="center"/>
          </w:tcPr>
          <w:p>
            <w:pPr>
              <w:spacing w:after="0"/>
            </w:pPr>
            <w:r/>
            <w:r>
              <w:rPr>
                <w:rFonts w:ascii="Calibri" w:hAnsi="Calibri"/>
                <w:b w:val="0"/>
                <w:color w:val="333537"/>
                <w:sz w:val="14"/>
              </w:rPr>
              <w:t>PR-006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yetişkin kendi özel verisinin sahibidir.</w:t>
            </w:r>
          </w:p>
        </w:tc>
      </w:tr>
      <w:tr>
        <w:tc>
          <w:tcPr>
            <w:tcW w:type="dxa" w:w="850"/>
            <w:vAlign w:val="center"/>
          </w:tcPr>
          <w:p>
            <w:pPr>
              <w:spacing w:after="0"/>
            </w:pPr>
            <w:r/>
            <w:r>
              <w:rPr>
                <w:rFonts w:ascii="Calibri" w:hAnsi="Calibri"/>
                <w:b w:val="0"/>
                <w:color w:val="333537"/>
                <w:sz w:val="14"/>
              </w:rPr>
              <w:t>PR-007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Aile yöneticisi olmak sağlık, finans, konum, özel belge veya kişisel zaman tüneli verilerine otomatik erişim sağlamaz.</w:t>
            </w:r>
          </w:p>
        </w:tc>
      </w:tr>
      <w:tr>
        <w:tc>
          <w:tcPr>
            <w:tcW w:type="dxa" w:w="850"/>
            <w:vAlign w:val="center"/>
          </w:tcPr>
          <w:p>
            <w:pPr>
              <w:spacing w:after="0"/>
            </w:pPr>
            <w:r/>
            <w:r>
              <w:rPr>
                <w:rFonts w:ascii="Calibri" w:hAnsi="Calibri"/>
                <w:b w:val="0"/>
                <w:color w:val="333537"/>
                <w:sz w:val="14"/>
              </w:rPr>
              <w:t>PR-008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Yetkilendirme yalnız role göre yapılamaz; veri sahibi, nesne, işlem, aile dalı, amaç, süre ve açık izin/ret birlikte değerlendirilir.</w:t>
            </w:r>
          </w:p>
        </w:tc>
      </w:tr>
      <w:tr>
        <w:tc>
          <w:tcPr>
            <w:tcW w:type="dxa" w:w="850"/>
            <w:vAlign w:val="center"/>
          </w:tcPr>
          <w:p>
            <w:pPr>
              <w:spacing w:after="0"/>
            </w:pPr>
            <w:r/>
            <w:r>
              <w:rPr>
                <w:rFonts w:ascii="Calibri" w:hAnsi="Calibri"/>
                <w:b w:val="0"/>
                <w:color w:val="333537"/>
                <w:sz w:val="14"/>
              </w:rPr>
              <w:t>PR-009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Açık ret, rol veya varsayılan iznin her zaman üzerindedir.</w:t>
            </w:r>
          </w:p>
        </w:tc>
      </w:tr>
      <w:tr>
        <w:tc>
          <w:tcPr>
            <w:tcW w:type="dxa" w:w="850"/>
            <w:vAlign w:val="center"/>
          </w:tcPr>
          <w:p>
            <w:pPr>
              <w:spacing w:after="0"/>
            </w:pPr>
            <w:r/>
            <w:r>
              <w:rPr>
                <w:rFonts w:ascii="Calibri" w:hAnsi="Calibri"/>
                <w:b w:val="0"/>
                <w:color w:val="333537"/>
                <w:sz w:val="14"/>
              </w:rPr>
              <w:t>PR-010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Finans ve sağlık yüksek hassasiyetli veri alanlarıdır; kişisel varlık ve borçlar başka aile üyesine otomatik katılmaz, ortak varlık/borç sahiplik oranıyla ele alınır.</w:t>
            </w:r>
          </w:p>
        </w:tc>
      </w:tr>
      <w:tr>
        <w:tc>
          <w:tcPr>
            <w:tcW w:type="dxa" w:w="850"/>
            <w:vAlign w:val="center"/>
          </w:tcPr>
          <w:p>
            <w:pPr>
              <w:spacing w:after="0"/>
            </w:pPr>
            <w:r/>
            <w:r>
              <w:rPr>
                <w:rFonts w:ascii="Calibri" w:hAnsi="Calibri"/>
                <w:b w:val="0"/>
                <w:color w:val="333537"/>
                <w:sz w:val="14"/>
              </w:rPr>
              <w:t>PR-011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Canlı konum yalnız açık rıza, amaç ve süreyle paylaşılır; görünür gösterge, otomatik sona erme ve audit kaydı zorunludur.</w:t>
            </w:r>
          </w:p>
        </w:tc>
      </w:tr>
      <w:tr>
        <w:tc>
          <w:tcPr>
            <w:tcW w:type="dxa" w:w="850"/>
            <w:vAlign w:val="center"/>
          </w:tcPr>
          <w:p>
            <w:pPr>
              <w:spacing w:after="0"/>
            </w:pPr>
            <w:r/>
            <w:r>
              <w:rPr>
                <w:rFonts w:ascii="Calibri" w:hAnsi="Calibri"/>
                <w:b w:val="0"/>
                <w:color w:val="333537"/>
                <w:sz w:val="14"/>
              </w:rPr>
              <w:t>PR-012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Başlangıç mimarisi modüler monolittir ve gelecekte servis/platform ayrışmasına açık kalmalıdır.</w:t>
            </w:r>
          </w:p>
        </w:tc>
      </w:tr>
      <w:tr>
        <w:tc>
          <w:tcPr>
            <w:tcW w:type="dxa" w:w="850"/>
            <w:vAlign w:val="center"/>
          </w:tcPr>
          <w:p>
            <w:pPr>
              <w:spacing w:after="0"/>
            </w:pPr>
            <w:r/>
            <w:r>
              <w:rPr>
                <w:rFonts w:ascii="Calibri" w:hAnsi="Calibri"/>
                <w:b w:val="0"/>
                <w:color w:val="333537"/>
                <w:sz w:val="14"/>
              </w:rPr>
              <w:t>PR-013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Temel bağımlılık yönü UI → Application → Domain → Infrastructure şeklindedir.</w:t>
            </w:r>
          </w:p>
        </w:tc>
      </w:tr>
      <w:tr>
        <w:tc>
          <w:tcPr>
            <w:tcW w:type="dxa" w:w="850"/>
            <w:vAlign w:val="center"/>
          </w:tcPr>
          <w:p>
            <w:pPr>
              <w:spacing w:after="0"/>
            </w:pPr>
            <w:r/>
            <w:r>
              <w:rPr>
                <w:rFonts w:ascii="Calibri" w:hAnsi="Calibri"/>
                <w:b w:val="0"/>
                <w:color w:val="333537"/>
                <w:sz w:val="14"/>
              </w:rPr>
              <w:t>PR-014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Renderer ve Application katmanı doğrudan ham SQL veya native SQLite çalıştıramaz.</w:t>
            </w:r>
          </w:p>
        </w:tc>
      </w:tr>
      <w:tr>
        <w:tc>
          <w:tcPr>
            <w:tcW w:type="dxa" w:w="850"/>
            <w:vAlign w:val="center"/>
          </w:tcPr>
          <w:p>
            <w:pPr>
              <w:spacing w:after="0"/>
            </w:pPr>
            <w:r/>
            <w:r>
              <w:rPr>
                <w:rFonts w:ascii="Calibri" w:hAnsi="Calibri"/>
                <w:b w:val="0"/>
                <w:color w:val="333537"/>
                <w:sz w:val="14"/>
              </w:rPr>
              <w:t>PR-015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Migration SQL sahipliği database katmanındadır.</w:t>
            </w:r>
          </w:p>
        </w:tc>
      </w:tr>
      <w:tr>
        <w:tc>
          <w:tcPr>
            <w:tcW w:type="dxa" w:w="850"/>
            <w:vAlign w:val="center"/>
          </w:tcPr>
          <w:p>
            <w:pPr>
              <w:spacing w:after="0"/>
            </w:pPr>
            <w:r/>
            <w:r>
              <w:rPr>
                <w:rFonts w:ascii="Calibri" w:hAnsi="Calibri"/>
                <w:b w:val="0"/>
                <w:color w:val="333537"/>
                <w:sz w:val="14"/>
              </w:rPr>
              <w:t>PR-016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Somut repository implementasyonları merkezi composition root üzerinden oluşturulur.</w:t>
            </w:r>
          </w:p>
        </w:tc>
      </w:tr>
      <w:tr>
        <w:tc>
          <w:tcPr>
            <w:tcW w:type="dxa" w:w="850"/>
            <w:vAlign w:val="center"/>
          </w:tcPr>
          <w:p>
            <w:pPr>
              <w:spacing w:after="0"/>
            </w:pPr>
            <w:r/>
            <w:r>
              <w:rPr>
                <w:rFonts w:ascii="Calibri" w:hAnsi="Calibri"/>
                <w:b w:val="0"/>
                <w:color w:val="333537"/>
                <w:sz w:val="14"/>
              </w:rPr>
              <w:t>PR-017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Ortak servislerin tek otoritesi Core Platform’dur; modüller içinde ikinci bağımsız ortak servis kopyaları oluşturulamaz.</w:t>
            </w:r>
          </w:p>
        </w:tc>
      </w:tr>
      <w:tr>
        <w:tc>
          <w:tcPr>
            <w:tcW w:type="dxa" w:w="850"/>
            <w:vAlign w:val="center"/>
          </w:tcPr>
          <w:p>
            <w:pPr>
              <w:spacing w:after="0"/>
            </w:pPr>
            <w:r/>
            <w:r>
              <w:rPr>
                <w:rFonts w:ascii="Calibri" w:hAnsi="Calibri"/>
                <w:b w:val="0"/>
                <w:color w:val="333537"/>
                <w:sz w:val="14"/>
              </w:rPr>
              <w:t>PR-018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Sistem yerel öncelikli (local-first) çalışır.</w:t>
            </w:r>
          </w:p>
        </w:tc>
      </w:tr>
      <w:tr>
        <w:tc>
          <w:tcPr>
            <w:tcW w:type="dxa" w:w="850"/>
            <w:vAlign w:val="center"/>
          </w:tcPr>
          <w:p>
            <w:pPr>
              <w:spacing w:after="0"/>
            </w:pPr>
            <w:r/>
            <w:r>
              <w:rPr>
                <w:rFonts w:ascii="Calibri" w:hAnsi="Calibri"/>
                <w:b w:val="0"/>
                <w:color w:val="333537"/>
                <w:sz w:val="14"/>
              </w:rPr>
              <w:t>PR-019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Birincil veri kullanıcının cihazındadır.</w:t>
            </w:r>
          </w:p>
        </w:tc>
      </w:tr>
      <w:tr>
        <w:tc>
          <w:tcPr>
            <w:tcW w:type="dxa" w:w="850"/>
            <w:vAlign w:val="center"/>
          </w:tcPr>
          <w:p>
            <w:pPr>
              <w:spacing w:after="0"/>
            </w:pPr>
            <w:r/>
            <w:r>
              <w:rPr>
                <w:rFonts w:ascii="Calibri" w:hAnsi="Calibri"/>
                <w:b w:val="0"/>
                <w:color w:val="333537"/>
                <w:sz w:val="14"/>
              </w:rPr>
              <w:t>PR-020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Bulut hesabı temel kullanım için zorunlu değildir.</w:t>
            </w:r>
          </w:p>
        </w:tc>
      </w:tr>
      <w:tr>
        <w:tc>
          <w:tcPr>
            <w:tcW w:type="dxa" w:w="850"/>
            <w:vAlign w:val="center"/>
          </w:tcPr>
          <w:p>
            <w:pPr>
              <w:spacing w:after="0"/>
            </w:pPr>
            <w:r/>
            <w:r>
              <w:rPr>
                <w:rFonts w:ascii="Calibri" w:hAnsi="Calibri"/>
                <w:b w:val="0"/>
                <w:color w:val="333537"/>
                <w:sz w:val="14"/>
              </w:rPr>
              <w:t>PR-021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Çevrimdışı kullanım temel davranıştır.</w:t>
            </w:r>
          </w:p>
        </w:tc>
      </w:tr>
      <w:tr>
        <w:tc>
          <w:tcPr>
            <w:tcW w:type="dxa" w:w="850"/>
            <w:vAlign w:val="center"/>
          </w:tcPr>
          <w:p>
            <w:pPr>
              <w:spacing w:after="0"/>
            </w:pPr>
            <w:r/>
            <w:r>
              <w:rPr>
                <w:rFonts w:ascii="Calibri" w:hAnsi="Calibri"/>
                <w:b w:val="0"/>
                <w:color w:val="333537"/>
                <w:sz w:val="14"/>
              </w:rPr>
              <w:t>PR-022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Büyük dosyalar şifreli kasada, metadata ve ilişkiler SQLite’ta tutulur.</w:t>
            </w:r>
          </w:p>
        </w:tc>
      </w:tr>
      <w:tr>
        <w:tc>
          <w:tcPr>
            <w:tcW w:type="dxa" w:w="850"/>
            <w:vAlign w:val="center"/>
          </w:tcPr>
          <w:p>
            <w:pPr>
              <w:spacing w:after="0"/>
            </w:pPr>
            <w:r/>
            <w:r>
              <w:rPr>
                <w:rFonts w:ascii="Calibri" w:hAnsi="Calibri"/>
                <w:b w:val="0"/>
                <w:color w:val="333537"/>
                <w:sz w:val="14"/>
              </w:rPr>
              <w:t>PR-023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Veri şeması sürümlüdür.</w:t>
            </w:r>
          </w:p>
        </w:tc>
      </w:tr>
      <w:tr>
        <w:tc>
          <w:tcPr>
            <w:tcW w:type="dxa" w:w="850"/>
            <w:vAlign w:val="center"/>
          </w:tcPr>
          <w:p>
            <w:pPr>
              <w:spacing w:after="0"/>
            </w:pPr>
            <w:r/>
            <w:r>
              <w:rPr>
                <w:rFonts w:ascii="Calibri" w:hAnsi="Calibri"/>
                <w:b w:val="0"/>
                <w:color w:val="333537"/>
                <w:sz w:val="14"/>
              </w:rPr>
              <w:t>PR-024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Geri döndürülemez migration, gerçek veri silme veya veri mülkiyetini değiştiren işlem açık kullanıcı onayı olmadan yapılamaz.</w:t>
            </w:r>
          </w:p>
        </w:tc>
      </w:tr>
      <w:tr>
        <w:tc>
          <w:tcPr>
            <w:tcW w:type="dxa" w:w="850"/>
            <w:vAlign w:val="center"/>
          </w:tcPr>
          <w:p>
            <w:pPr>
              <w:spacing w:after="0"/>
            </w:pPr>
            <w:r/>
            <w:r>
              <w:rPr>
                <w:rFonts w:ascii="Calibri" w:hAnsi="Calibri"/>
                <w:b w:val="0"/>
                <w:color w:val="333537"/>
                <w:sz w:val="14"/>
              </w:rPr>
              <w:t>PR-025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Önemli veri değişiklikleri aktör, zaman, eski/yeni değer ve gerekçeyle izlenebilir olmalıdır.</w:t>
            </w:r>
          </w:p>
        </w:tc>
      </w:tr>
      <w:tr>
        <w:tc>
          <w:tcPr>
            <w:tcW w:type="dxa" w:w="850"/>
            <w:vAlign w:val="center"/>
          </w:tcPr>
          <w:p>
            <w:pPr>
              <w:spacing w:after="0"/>
            </w:pPr>
            <w:r/>
            <w:r>
              <w:rPr>
                <w:rFonts w:ascii="Calibri" w:hAnsi="Calibri"/>
                <w:b w:val="0"/>
                <w:color w:val="333537"/>
                <w:sz w:val="14"/>
              </w:rPr>
              <w:t>PR-026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Temel güvenlik ilkesi varsayılan reddetmedir; açık izin yoksa kritik işlem reddedilir.</w:t>
            </w:r>
          </w:p>
        </w:tc>
      </w:tr>
      <w:tr>
        <w:tc>
          <w:tcPr>
            <w:tcW w:type="dxa" w:w="850"/>
            <w:vAlign w:val="center"/>
          </w:tcPr>
          <w:p>
            <w:pPr>
              <w:spacing w:after="0"/>
            </w:pPr>
            <w:r/>
            <w:r>
              <w:rPr>
                <w:rFonts w:ascii="Calibri" w:hAnsi="Calibri"/>
                <w:b w:val="0"/>
                <w:color w:val="333537"/>
                <w:sz w:val="14"/>
              </w:rPr>
              <w:t>PR-027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En az yetki ilkesi zorunludur.</w:t>
            </w:r>
          </w:p>
        </w:tc>
      </w:tr>
      <w:tr>
        <w:tc>
          <w:tcPr>
            <w:tcW w:type="dxa" w:w="850"/>
            <w:vAlign w:val="center"/>
          </w:tcPr>
          <w:p>
            <w:pPr>
              <w:spacing w:after="0"/>
            </w:pPr>
            <w:r/>
            <w:r>
              <w:rPr>
                <w:rFonts w:ascii="Calibri" w:hAnsi="Calibri"/>
                <w:b w:val="0"/>
                <w:color w:val="333537"/>
                <w:sz w:val="14"/>
              </w:rPr>
              <w:t>PR-028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Windows Hello tercihli kimlik doğrulamadır; güçlü yerel parola yedek yöntemdir.</w:t>
            </w:r>
          </w:p>
        </w:tc>
      </w:tr>
      <w:tr>
        <w:tc>
          <w:tcPr>
            <w:tcW w:type="dxa" w:w="850"/>
            <w:vAlign w:val="center"/>
          </w:tcPr>
          <w:p>
            <w:pPr>
              <w:spacing w:after="0"/>
            </w:pPr>
            <w:r/>
            <w:r>
              <w:rPr>
                <w:rFonts w:ascii="Calibri" w:hAnsi="Calibri"/>
                <w:b w:val="0"/>
                <w:color w:val="333537"/>
                <w:sz w:val="14"/>
              </w:rPr>
              <w:t>PR-029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TOTP, tek kullanımlık kurtarma kodları ve FIDO2/WebAuthn desteklenir.</w:t>
            </w:r>
          </w:p>
        </w:tc>
      </w:tr>
      <w:tr>
        <w:tc>
          <w:tcPr>
            <w:tcW w:type="dxa" w:w="850"/>
            <w:vAlign w:val="center"/>
          </w:tcPr>
          <w:p>
            <w:pPr>
              <w:spacing w:after="0"/>
            </w:pPr>
            <w:r/>
            <w:r>
              <w:rPr>
                <w:rFonts w:ascii="Calibri" w:hAnsi="Calibri"/>
                <w:b w:val="0"/>
                <w:color w:val="333537"/>
                <w:sz w:val="14"/>
              </w:rPr>
              <w:t>PR-030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Varsayılan boşta kalma oturum süresi 15 dakikadır.</w:t>
            </w:r>
          </w:p>
        </w:tc>
      </w:tr>
      <w:tr>
        <w:tc>
          <w:tcPr>
            <w:tcW w:type="dxa" w:w="850"/>
            <w:vAlign w:val="center"/>
          </w:tcPr>
          <w:p>
            <w:pPr>
              <w:spacing w:after="0"/>
            </w:pPr>
            <w:r/>
            <w:r>
              <w:rPr>
                <w:rFonts w:ascii="Calibri" w:hAnsi="Calibri"/>
                <w:b w:val="0"/>
                <w:color w:val="333537"/>
                <w:sz w:val="14"/>
              </w:rPr>
              <w:t>PR-031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Beş başarısız giriş 15 dakikalık kilit oluşturur.</w:t>
            </w:r>
          </w:p>
        </w:tc>
      </w:tr>
      <w:tr>
        <w:tc>
          <w:tcPr>
            <w:tcW w:type="dxa" w:w="850"/>
            <w:vAlign w:val="center"/>
          </w:tcPr>
          <w:p>
            <w:pPr>
              <w:spacing w:after="0"/>
            </w:pPr>
            <w:r/>
            <w:r>
              <w:rPr>
                <w:rFonts w:ascii="Calibri" w:hAnsi="Calibri"/>
                <w:b w:val="0"/>
                <w:color w:val="333537"/>
                <w:sz w:val="14"/>
              </w:rPr>
              <w:t>PR-032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Giriş, kilit, parola ve cihaz işlemleri audit edilir.</w:t>
            </w:r>
          </w:p>
        </w:tc>
      </w:tr>
      <w:tr>
        <w:tc>
          <w:tcPr>
            <w:tcW w:type="dxa" w:w="850"/>
            <w:vAlign w:val="center"/>
          </w:tcPr>
          <w:p>
            <w:pPr>
              <w:spacing w:after="0"/>
            </w:pPr>
            <w:r/>
            <w:r>
              <w:rPr>
                <w:rFonts w:ascii="Calibri" w:hAnsi="Calibri"/>
                <w:b w:val="0"/>
                <w:color w:val="333537"/>
                <w:sz w:val="14"/>
              </w:rPr>
              <w:t>PR-033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Yeni cihaz eski cihaz güvenini otomatik devralamaz.</w:t>
            </w:r>
          </w:p>
        </w:tc>
      </w:tr>
      <w:tr>
        <w:tc>
          <w:tcPr>
            <w:tcW w:type="dxa" w:w="850"/>
            <w:vAlign w:val="center"/>
          </w:tcPr>
          <w:p>
            <w:pPr>
              <w:spacing w:after="0"/>
            </w:pPr>
            <w:r/>
            <w:r>
              <w:rPr>
                <w:rFonts w:ascii="Calibri" w:hAnsi="Calibri"/>
                <w:b w:val="0"/>
                <w:color w:val="333537"/>
                <w:sz w:val="14"/>
              </w:rPr>
              <w:t>PR-034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Yedekten geri yükleme yeni cihaza otomatik yetki vermez.</w:t>
            </w:r>
          </w:p>
        </w:tc>
      </w:tr>
      <w:tr>
        <w:tc>
          <w:tcPr>
            <w:tcW w:type="dxa" w:w="850"/>
            <w:vAlign w:val="center"/>
          </w:tcPr>
          <w:p>
            <w:pPr>
              <w:spacing w:after="0"/>
            </w:pPr>
            <w:r/>
            <w:r>
              <w:rPr>
                <w:rFonts w:ascii="Calibri" w:hAnsi="Calibri"/>
                <w:b w:val="0"/>
                <w:color w:val="333537"/>
                <w:sz w:val="14"/>
              </w:rPr>
              <w:t>PR-035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Taşınabilir kullanıcı verisi ile cihaza bağlı güvenlik sırları ayrıdır.</w:t>
            </w:r>
          </w:p>
        </w:tc>
      </w:tr>
      <w:tr>
        <w:tc>
          <w:tcPr>
            <w:tcW w:type="dxa" w:w="850"/>
            <w:vAlign w:val="center"/>
          </w:tcPr>
          <w:p>
            <w:pPr>
              <w:spacing w:after="0"/>
            </w:pPr>
            <w:r/>
            <w:r>
              <w:rPr>
                <w:rFonts w:ascii="Calibri" w:hAnsi="Calibri"/>
                <w:b w:val="0"/>
                <w:color w:val="333537"/>
                <w:sz w:val="14"/>
              </w:rPr>
              <w:t>PR-036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Güvenlik kontrolü sessizce kaldırılamaz veya zayıflatılamaz; karar kaydı, risk/etki analizi ve ürün sahibi onayı gerekir.</w:t>
            </w:r>
          </w:p>
        </w:tc>
      </w:tr>
      <w:tr>
        <w:tc>
          <w:tcPr>
            <w:tcW w:type="dxa" w:w="850"/>
            <w:vAlign w:val="center"/>
          </w:tcPr>
          <w:p>
            <w:pPr>
              <w:spacing w:after="0"/>
            </w:pPr>
            <w:r/>
            <w:r>
              <w:rPr>
                <w:rFonts w:ascii="Calibri" w:hAnsi="Calibri"/>
                <w:b w:val="0"/>
                <w:color w:val="333537"/>
                <w:sz w:val="14"/>
              </w:rPr>
              <w:t>PR-037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Electron renderer nodeIntegration:false, contextIsolation:true ve sandbox:true ile çalışır.</w:t>
            </w:r>
          </w:p>
        </w:tc>
      </w:tr>
      <w:tr>
        <w:tc>
          <w:tcPr>
            <w:tcW w:type="dxa" w:w="850"/>
            <w:vAlign w:val="center"/>
          </w:tcPr>
          <w:p>
            <w:pPr>
              <w:spacing w:after="0"/>
            </w:pPr>
            <w:r/>
            <w:r>
              <w:rPr>
                <w:rFonts w:ascii="Calibri" w:hAnsi="Calibri"/>
                <w:b w:val="0"/>
                <w:color w:val="333537"/>
                <w:sz w:val="14"/>
              </w:rPr>
              <w:t>PR-038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IPC yalnız kayıtlı ana renderer, ana frame ve güvenilir belgeden kabul edilir.</w:t>
            </w:r>
          </w:p>
        </w:tc>
      </w:tr>
      <w:tr>
        <w:tc>
          <w:tcPr>
            <w:tcW w:type="dxa" w:w="850"/>
            <w:vAlign w:val="center"/>
          </w:tcPr>
          <w:p>
            <w:pPr>
              <w:spacing w:after="0"/>
            </w:pPr>
            <w:r/>
            <w:r>
              <w:rPr>
                <w:rFonts w:ascii="Calibri" w:hAnsi="Calibri"/>
                <w:b w:val="0"/>
                <w:color w:val="333537"/>
                <w:sz w:val="14"/>
              </w:rPr>
              <w:t>PR-039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IPC payload’ları merkezi boyut, derinlik ve güvenlik kontrolünden geçer.</w:t>
            </w:r>
          </w:p>
        </w:tc>
      </w:tr>
      <w:tr>
        <w:tc>
          <w:tcPr>
            <w:tcW w:type="dxa" w:w="850"/>
            <w:vAlign w:val="center"/>
          </w:tcPr>
          <w:p>
            <w:pPr>
              <w:spacing w:after="0"/>
            </w:pPr>
            <w:r/>
            <w:r>
              <w:rPr>
                <w:rFonts w:ascii="Calibri" w:hAnsi="Calibri"/>
                <w:b w:val="0"/>
                <w:color w:val="333537"/>
                <w:sz w:val="14"/>
              </w:rPr>
              <w:t>PR-040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Webview, izinsiz navigation, redirect, download ve permission talepleri varsayılan reddedilir.</w:t>
            </w:r>
          </w:p>
        </w:tc>
      </w:tr>
      <w:tr>
        <w:tc>
          <w:tcPr>
            <w:tcW w:type="dxa" w:w="850"/>
            <w:vAlign w:val="center"/>
          </w:tcPr>
          <w:p>
            <w:pPr>
              <w:spacing w:after="0"/>
            </w:pPr>
            <w:r/>
            <w:r>
              <w:rPr>
                <w:rFonts w:ascii="Calibri" w:hAnsi="Calibri"/>
                <w:b w:val="0"/>
                <w:color w:val="333537"/>
                <w:sz w:val="14"/>
              </w:rPr>
              <w:t>PR-041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 sağlayıcısı varsayılan kapalıdır.</w:t>
            </w:r>
          </w:p>
        </w:tc>
      </w:tr>
      <w:tr>
        <w:tc>
          <w:tcPr>
            <w:tcW w:type="dxa" w:w="850"/>
            <w:vAlign w:val="center"/>
          </w:tcPr>
          <w:p>
            <w:pPr>
              <w:spacing w:after="0"/>
            </w:pPr>
            <w:r/>
            <w:r>
              <w:rPr>
                <w:rFonts w:ascii="Calibri" w:hAnsi="Calibri"/>
                <w:b w:val="0"/>
                <w:color w:val="333537"/>
                <w:sz w:val="14"/>
              </w:rPr>
              <w:t>PR-042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 yalnız kullanıcının hem veri erişimine hem AI işlemesine izin verdiği kayıtları kullanabilir.</w:t>
            </w:r>
          </w:p>
        </w:tc>
      </w:tr>
      <w:tr>
        <w:tc>
          <w:tcPr>
            <w:tcW w:type="dxa" w:w="850"/>
            <w:vAlign w:val="center"/>
          </w:tcPr>
          <w:p>
            <w:pPr>
              <w:spacing w:after="0"/>
            </w:pPr>
            <w:r/>
            <w:r>
              <w:rPr>
                <w:rFonts w:ascii="Calibri" w:hAnsi="Calibri"/>
                <w:b w:val="0"/>
                <w:color w:val="333537"/>
                <w:sz w:val="14"/>
              </w:rPr>
              <w:t>PR-043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Sağlık, finans, çocuk ve canlı konum AI açısından yüksek hassasiyetlidir.</w:t>
            </w:r>
          </w:p>
        </w:tc>
      </w:tr>
      <w:tr>
        <w:tc>
          <w:tcPr>
            <w:tcW w:type="dxa" w:w="850"/>
            <w:vAlign w:val="center"/>
          </w:tcPr>
          <w:p>
            <w:pPr>
              <w:spacing w:after="0"/>
            </w:pPr>
            <w:r/>
            <w:r>
              <w:rPr>
                <w:rFonts w:ascii="Calibri" w:hAnsi="Calibri"/>
                <w:b w:val="0"/>
                <w:color w:val="333537"/>
                <w:sz w:val="14"/>
              </w:rPr>
              <w:t>PR-044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 önerileri insan onayı olmadan kesin veya otoritatif kayıt oluşturamaz.</w:t>
            </w:r>
          </w:p>
        </w:tc>
      </w:tr>
      <w:tr>
        <w:tc>
          <w:tcPr>
            <w:tcW w:type="dxa" w:w="850"/>
            <w:vAlign w:val="center"/>
          </w:tcPr>
          <w:p>
            <w:pPr>
              <w:spacing w:after="0"/>
            </w:pPr>
            <w:r/>
            <w:r>
              <w:rPr>
                <w:rFonts w:ascii="Calibri" w:hAnsi="Calibri"/>
                <w:b w:val="0"/>
                <w:color w:val="333537"/>
                <w:sz w:val="14"/>
              </w:rPr>
              <w:t>PR-045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AI hafızasını görebilmeli, düzeltebilmeli, sınırlandırabilmeli ve silebilmelidir.</w:t>
            </w:r>
          </w:p>
        </w:tc>
      </w:tr>
      <w:tr>
        <w:tc>
          <w:tcPr>
            <w:tcW w:type="dxa" w:w="850"/>
            <w:vAlign w:val="center"/>
          </w:tcPr>
          <w:p>
            <w:pPr>
              <w:spacing w:after="0"/>
            </w:pPr>
            <w:r/>
            <w:r>
              <w:rPr>
                <w:rFonts w:ascii="Calibri" w:hAnsi="Calibri"/>
                <w:b w:val="0"/>
                <w:color w:val="333537"/>
                <w:sz w:val="14"/>
              </w:rPr>
              <w:t>PR-046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Yedek hedefleri yerel disk, harici disk ve bulut sağlayıcı adaptörü olarak birbirinden bağımsız çalışır.</w:t>
            </w:r>
          </w:p>
        </w:tc>
      </w:tr>
      <w:tr>
        <w:tc>
          <w:tcPr>
            <w:tcW w:type="dxa" w:w="850"/>
            <w:vAlign w:val="center"/>
          </w:tcPr>
          <w:p>
            <w:pPr>
              <w:spacing w:after="0"/>
            </w:pPr>
            <w:r/>
            <w:r>
              <w:rPr>
                <w:rFonts w:ascii="Calibri" w:hAnsi="Calibri"/>
                <w:b w:val="0"/>
                <w:color w:val="333537"/>
                <w:sz w:val="14"/>
              </w:rPr>
              <w:t>PR-047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Bir yedek hedefinin arızası diğer hedefleri durduramaz.</w:t>
            </w:r>
          </w:p>
        </w:tc>
      </w:tr>
      <w:tr>
        <w:tc>
          <w:tcPr>
            <w:tcW w:type="dxa" w:w="850"/>
            <w:vAlign w:val="center"/>
          </w:tcPr>
          <w:p>
            <w:pPr>
              <w:spacing w:after="0"/>
            </w:pPr>
            <w:r/>
            <w:r>
              <w:rPr>
                <w:rFonts w:ascii="Calibri" w:hAnsi="Calibri"/>
                <w:b w:val="0"/>
                <w:color w:val="333537"/>
                <w:sz w:val="14"/>
              </w:rPr>
              <w:t>PR-048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yedek hedefi için bağlantı, boş alan, son başarı, doğrulama, boyut, hash, hız ve hata ayrı izlenir.</w:t>
            </w:r>
          </w:p>
        </w:tc>
      </w:tr>
      <w:tr>
        <w:tc>
          <w:tcPr>
            <w:tcW w:type="dxa" w:w="850"/>
            <w:vAlign w:val="center"/>
          </w:tcPr>
          <w:p>
            <w:pPr>
              <w:spacing w:after="0"/>
            </w:pPr>
            <w:r/>
            <w:r>
              <w:rPr>
                <w:rFonts w:ascii="Calibri" w:hAnsi="Calibri"/>
                <w:b w:val="0"/>
                <w:color w:val="333537"/>
                <w:sz w:val="14"/>
              </w:rPr>
              <w:t>PR-049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zaman en az bir tam ve doğrulanmış yedek korunmalıdır.</w:t>
            </w:r>
          </w:p>
        </w:tc>
      </w:tr>
      <w:tr>
        <w:tc>
          <w:tcPr>
            <w:tcW w:type="dxa" w:w="850"/>
            <w:vAlign w:val="center"/>
          </w:tcPr>
          <w:p>
            <w:pPr>
              <w:spacing w:after="0"/>
            </w:pPr>
            <w:r/>
            <w:r>
              <w:rPr>
                <w:rFonts w:ascii="Calibri" w:hAnsi="Calibri"/>
                <w:b w:val="0"/>
                <w:color w:val="333537"/>
                <w:sz w:val="14"/>
              </w:rPr>
              <w:t>PR-050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OneDrive ilk öncelikli bulut hedefidir; mimari iCloud, Google Drive ve diğer sağlayıcılara adapter ile açık kalır.</w:t>
            </w:r>
          </w:p>
        </w:tc>
      </w:tr>
      <w:tr>
        <w:tc>
          <w:tcPr>
            <w:tcW w:type="dxa" w:w="850"/>
            <w:vAlign w:val="center"/>
          </w:tcPr>
          <w:p>
            <w:pPr>
              <w:spacing w:after="0"/>
            </w:pPr>
            <w:r/>
            <w:r>
              <w:rPr>
                <w:rFonts w:ascii="Calibri" w:hAnsi="Calibri"/>
                <w:b w:val="0"/>
                <w:color w:val="333537"/>
                <w:sz w:val="14"/>
              </w:rPr>
              <w:t>PR-051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Yedek şifreli ve doğrulanmış olmak zorundadır.</w:t>
            </w:r>
          </w:p>
        </w:tc>
      </w:tr>
      <w:tr>
        <w:tc>
          <w:tcPr>
            <w:tcW w:type="dxa" w:w="850"/>
            <w:vAlign w:val="center"/>
          </w:tcPr>
          <w:p>
            <w:pPr>
              <w:spacing w:after="0"/>
            </w:pPr>
            <w:r/>
            <w:r>
              <w:rPr>
                <w:rFonts w:ascii="Calibri" w:hAnsi="Calibri"/>
                <w:b w:val="0"/>
                <w:color w:val="333537"/>
                <w:sz w:val="14"/>
              </w:rPr>
              <w:t>PR-052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Restore öncesi bütünlük kontrolü yapılır.</w:t>
            </w:r>
          </w:p>
        </w:tc>
      </w:tr>
      <w:tr>
        <w:tc>
          <w:tcPr>
            <w:tcW w:type="dxa" w:w="850"/>
            <w:vAlign w:val="center"/>
          </w:tcPr>
          <w:p>
            <w:pPr>
              <w:spacing w:after="0"/>
            </w:pPr>
            <w:r/>
            <w:r>
              <w:rPr>
                <w:rFonts w:ascii="Calibri" w:hAnsi="Calibri"/>
                <w:b w:val="0"/>
                <w:color w:val="333537"/>
                <w:sz w:val="14"/>
              </w:rPr>
              <w:t>PR-053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Bozuk veri izole edilir ve rollback imkânı bulunur.</w:t>
            </w:r>
          </w:p>
        </w:tc>
      </w:tr>
      <w:tr>
        <w:tc>
          <w:tcPr>
            <w:tcW w:type="dxa" w:w="850"/>
            <w:vAlign w:val="center"/>
          </w:tcPr>
          <w:p>
            <w:pPr>
              <w:spacing w:after="0"/>
            </w:pPr>
            <w:r/>
            <w:r>
              <w:rPr>
                <w:rFonts w:ascii="Calibri" w:hAnsi="Calibri"/>
                <w:b w:val="0"/>
                <w:color w:val="333537"/>
                <w:sz w:val="14"/>
              </w:rPr>
              <w:t>PR-054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Yeni cihaz restore işleminden sonra yeniden kimlik ve cihaz yetkilendirmesi gerekir.</w:t>
            </w:r>
          </w:p>
        </w:tc>
      </w:tr>
      <w:tr>
        <w:tc>
          <w:tcPr>
            <w:tcW w:type="dxa" w:w="850"/>
            <w:vAlign w:val="center"/>
          </w:tcPr>
          <w:p>
            <w:pPr>
              <w:spacing w:after="0"/>
            </w:pPr>
            <w:r/>
            <w:r>
              <w:rPr>
                <w:rFonts w:ascii="Calibri" w:hAnsi="Calibri"/>
                <w:b w:val="0"/>
                <w:color w:val="333537"/>
                <w:sz w:val="14"/>
              </w:rPr>
              <w:t>PR-055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içe alınan dosya sürümü değişmez dijital kanıt olarak korunur.</w:t>
            </w:r>
          </w:p>
        </w:tc>
      </w:tr>
      <w:tr>
        <w:tc>
          <w:tcPr>
            <w:tcW w:type="dxa" w:w="850"/>
            <w:vAlign w:val="center"/>
          </w:tcPr>
          <w:p>
            <w:pPr>
              <w:spacing w:after="0"/>
            </w:pPr>
            <w:r/>
            <w:r>
              <w:rPr>
                <w:rFonts w:ascii="Calibri" w:hAnsi="Calibri"/>
                <w:b w:val="0"/>
                <w:color w:val="333537"/>
                <w:sz w:val="14"/>
              </w:rPr>
              <w:t>PR-056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Arşivleme silme değildir; arşivlenen kayıt aktif görünümden çıkar fakat veri korunur.</w:t>
            </w:r>
          </w:p>
        </w:tc>
      </w:tr>
      <w:tr>
        <w:tc>
          <w:tcPr>
            <w:tcW w:type="dxa" w:w="850"/>
            <w:vAlign w:val="center"/>
          </w:tcPr>
          <w:p>
            <w:pPr>
              <w:spacing w:after="0"/>
            </w:pPr>
            <w:r/>
            <w:r>
              <w:rPr>
                <w:rFonts w:ascii="Calibri" w:hAnsi="Calibri"/>
                <w:b w:val="0"/>
                <w:color w:val="333537"/>
                <w:sz w:val="14"/>
              </w:rPr>
              <w:t>PR-057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Kalıcı imha işlemleri güçlü doğrulama ve kayıt gerektirir.</w:t>
            </w:r>
          </w:p>
        </w:tc>
      </w:tr>
      <w:tr>
        <w:tc>
          <w:tcPr>
            <w:tcW w:type="dxa" w:w="850"/>
            <w:vAlign w:val="center"/>
          </w:tcPr>
          <w:p>
            <w:pPr>
              <w:spacing w:after="0"/>
            </w:pPr>
            <w:r/>
            <w:r>
              <w:rPr>
                <w:rFonts w:ascii="Calibri" w:hAnsi="Calibri"/>
                <w:b w:val="0"/>
                <w:color w:val="333537"/>
                <w:sz w:val="14"/>
              </w:rPr>
              <w:t>PR-058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SSD/TRIM/wear-leveling gibi teknik sınırlar nedeniyle doğrulanamayan fiziksel silme için mutlak imha iddiası yapılamaz.</w:t>
            </w:r>
          </w:p>
        </w:tc>
      </w:tr>
      <w:tr>
        <w:tc>
          <w:tcPr>
            <w:tcW w:type="dxa" w:w="850"/>
            <w:vAlign w:val="center"/>
          </w:tcPr>
          <w:p>
            <w:pPr>
              <w:spacing w:after="0"/>
            </w:pPr>
            <w:r/>
            <w:r>
              <w:rPr>
                <w:rFonts w:ascii="Calibri" w:hAnsi="Calibri"/>
                <w:b w:val="0"/>
                <w:color w:val="333537"/>
                <w:sz w:val="14"/>
              </w:rPr>
              <w:t>PR-059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Dijital miras işlemleri geri döndürülebilir tasarlanır.</w:t>
            </w:r>
          </w:p>
        </w:tc>
      </w:tr>
      <w:tr>
        <w:tc>
          <w:tcPr>
            <w:tcW w:type="dxa" w:w="850"/>
            <w:vAlign w:val="center"/>
          </w:tcPr>
          <w:p>
            <w:pPr>
              <w:spacing w:after="0"/>
            </w:pPr>
            <w:r/>
            <w:r>
              <w:rPr>
                <w:rFonts w:ascii="Calibri" w:hAnsi="Calibri"/>
                <w:b w:val="0"/>
                <w:color w:val="333537"/>
                <w:sz w:val="14"/>
              </w:rPr>
              <w:t>PR-060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Vefat sonrası kritik erişim/içerik işlemleri en az iki yönetici onayı, bekleme süresi, audit ve iptal/geri alma mekanizması gerektirir.</w:t>
            </w:r>
          </w:p>
        </w:tc>
      </w:tr>
      <w:tr>
        <w:tc>
          <w:tcPr>
            <w:tcW w:type="dxa" w:w="850"/>
            <w:vAlign w:val="center"/>
          </w:tcPr>
          <w:p>
            <w:pPr>
              <w:spacing w:after="0"/>
            </w:pPr>
            <w:r/>
            <w:r>
              <w:rPr>
                <w:rFonts w:ascii="Calibri" w:hAnsi="Calibri"/>
                <w:b w:val="0"/>
                <w:color w:val="333537"/>
                <w:sz w:val="14"/>
              </w:rPr>
              <w:t>PR-061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gerçek geliştirme ve kullanım platformu Windows masaüstüdür.</w:t>
            </w:r>
          </w:p>
        </w:tc>
      </w:tr>
      <w:tr>
        <w:tc>
          <w:tcPr>
            <w:tcW w:type="dxa" w:w="850"/>
            <w:vAlign w:val="center"/>
          </w:tcPr>
          <w:p>
            <w:pPr>
              <w:spacing w:after="0"/>
            </w:pPr>
            <w:r/>
            <w:r>
              <w:rPr>
                <w:rFonts w:ascii="Calibri" w:hAnsi="Calibri"/>
                <w:b w:val="0"/>
                <w:color w:val="333537"/>
                <w:sz w:val="14"/>
              </w:rPr>
              <w:t>PR-062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Mimari macOS, iPhone, iPad, Apple Watch ve Apple Vision Pro’ya genişlemeye uygun tutulur.</w:t>
            </w:r>
          </w:p>
        </w:tc>
      </w:tr>
      <w:tr>
        <w:tc>
          <w:tcPr>
            <w:tcW w:type="dxa" w:w="850"/>
            <w:vAlign w:val="center"/>
          </w:tcPr>
          <w:p>
            <w:pPr>
              <w:spacing w:after="0"/>
            </w:pPr>
            <w:r/>
            <w:r>
              <w:rPr>
                <w:rFonts w:ascii="Calibri" w:hAnsi="Calibri"/>
                <w:b w:val="0"/>
                <w:color w:val="333537"/>
                <w:sz w:val="14"/>
              </w:rPr>
              <w:t>PR-063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Apple/mobil istemciler ilk aşamada Windows çekirdeğinden veri alan companion istemcilerdir.</w:t>
            </w:r>
          </w:p>
        </w:tc>
      </w:tr>
      <w:tr>
        <w:tc>
          <w:tcPr>
            <w:tcW w:type="dxa" w:w="850"/>
            <w:vAlign w:val="center"/>
          </w:tcPr>
          <w:p>
            <w:pPr>
              <w:spacing w:after="0"/>
            </w:pPr>
            <w:r/>
            <w:r>
              <w:rPr>
                <w:rFonts w:ascii="Calibri" w:hAnsi="Calibri"/>
                <w:b w:val="0"/>
                <w:color w:val="333537"/>
                <w:sz w:val="14"/>
              </w:rPr>
              <w:t>PR-064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Mobil istemci bağımsız ana veri kaynağı veya bağımsız işlem motoru değildir.</w:t>
            </w:r>
          </w:p>
        </w:tc>
      </w:tr>
      <w:tr>
        <w:tc>
          <w:tcPr>
            <w:tcW w:type="dxa" w:w="850"/>
            <w:vAlign w:val="center"/>
          </w:tcPr>
          <w:p>
            <w:pPr>
              <w:spacing w:after="0"/>
            </w:pPr>
            <w:r/>
            <w:r>
              <w:rPr>
                <w:rFonts w:ascii="Calibri" w:hAnsi="Calibri"/>
                <w:b w:val="0"/>
                <w:color w:val="333537"/>
                <w:sz w:val="14"/>
              </w:rPr>
              <w:t>PR-065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Arayüz Apple tasarım ilkelerinden esinlenir ancak özgün Anadolu Parsı marka kimliği kullanır.</w:t>
            </w:r>
          </w:p>
        </w:tc>
      </w:tr>
      <w:tr>
        <w:tc>
          <w:tcPr>
            <w:tcW w:type="dxa" w:w="850"/>
            <w:vAlign w:val="center"/>
          </w:tcPr>
          <w:p>
            <w:pPr>
              <w:spacing w:after="0"/>
            </w:pPr>
            <w:r/>
            <w:r>
              <w:rPr>
                <w:rFonts w:ascii="Calibri" w:hAnsi="Calibri"/>
                <w:b w:val="0"/>
                <w:color w:val="333537"/>
                <w:sz w:val="14"/>
              </w:rPr>
              <w:t>PR-066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 font dosyaları uygulamaya gömülmez; yerel sistem fontu ve güvenli fallback zinciri kullanılır.</w:t>
            </w:r>
          </w:p>
        </w:tc>
      </w:tr>
      <w:tr>
        <w:tc>
          <w:tcPr>
            <w:tcW w:type="dxa" w:w="850"/>
            <w:vAlign w:val="center"/>
          </w:tcPr>
          <w:p>
            <w:pPr>
              <w:spacing w:after="0"/>
            </w:pPr>
            <w:r/>
            <w:r>
              <w:rPr>
                <w:rFonts w:ascii="Calibri" w:hAnsi="Calibri"/>
                <w:b w:val="0"/>
                <w:color w:val="333537"/>
                <w:sz w:val="14"/>
              </w:rPr>
              <w:t>PR-067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Klavye kullanımı desteklenmek zorundadır.</w:t>
            </w:r>
          </w:p>
        </w:tc>
      </w:tr>
      <w:tr>
        <w:tc>
          <w:tcPr>
            <w:tcW w:type="dxa" w:w="850"/>
            <w:vAlign w:val="center"/>
          </w:tcPr>
          <w:p>
            <w:pPr>
              <w:spacing w:after="0"/>
            </w:pPr>
            <w:r/>
            <w:r>
              <w:rPr>
                <w:rFonts w:ascii="Calibri" w:hAnsi="Calibri"/>
                <w:b w:val="0"/>
                <w:color w:val="333537"/>
                <w:sz w:val="14"/>
              </w:rPr>
              <w:t>PR-068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Ekran okuyucu etiketleri zorunludur.</w:t>
            </w:r>
          </w:p>
        </w:tc>
      </w:tr>
      <w:tr>
        <w:tc>
          <w:tcPr>
            <w:tcW w:type="dxa" w:w="850"/>
            <w:vAlign w:val="center"/>
          </w:tcPr>
          <w:p>
            <w:pPr>
              <w:spacing w:after="0"/>
            </w:pPr>
            <w:r/>
            <w:r>
              <w:rPr>
                <w:rFonts w:ascii="Calibri" w:hAnsi="Calibri"/>
                <w:b w:val="0"/>
                <w:color w:val="333537"/>
                <w:sz w:val="14"/>
              </w:rPr>
              <w:t>PR-069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Ölçeklenebilir metin, yüksek kontrast, görünür odak ve renk dışı durum anlatımı zorunludur.</w:t>
            </w:r>
          </w:p>
        </w:tc>
      </w:tr>
      <w:tr>
        <w:tc>
          <w:tcPr>
            <w:tcW w:type="dxa" w:w="850"/>
            <w:vAlign w:val="center"/>
          </w:tcPr>
          <w:p>
            <w:pPr>
              <w:spacing w:after="0"/>
            </w:pPr>
            <w:r/>
            <w:r>
              <w:rPr>
                <w:rFonts w:ascii="Calibri" w:hAnsi="Calibri"/>
                <w:b w:val="0"/>
                <w:color w:val="333537"/>
                <w:sz w:val="14"/>
              </w:rPr>
              <w:t>PR-070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Hata mesajı sorunu ve kullanıcının yapması gereken eylemi birlikte açıklamalıdır.</w:t>
            </w:r>
          </w:p>
        </w:tc>
      </w:tr>
      <w:tr>
        <w:tc>
          <w:tcPr>
            <w:tcW w:type="dxa" w:w="850"/>
            <w:vAlign w:val="center"/>
          </w:tcPr>
          <w:p>
            <w:pPr>
              <w:spacing w:after="0"/>
            </w:pPr>
            <w:r/>
            <w:r>
              <w:rPr>
                <w:rFonts w:ascii="Calibri" w:hAnsi="Calibri"/>
                <w:b w:val="0"/>
                <w:color w:val="333537"/>
                <w:sz w:val="14"/>
              </w:rPr>
              <w:t>PR-071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Temel etkileşim hedefi en az 44 px olmalıdır.</w:t>
            </w:r>
          </w:p>
        </w:tc>
      </w:tr>
      <w:tr>
        <w:tc>
          <w:tcPr>
            <w:tcW w:type="dxa" w:w="850"/>
            <w:vAlign w:val="center"/>
          </w:tcPr>
          <w:p>
            <w:pPr>
              <w:spacing w:after="0"/>
            </w:pPr>
            <w:r/>
            <w:r>
              <w:rPr>
                <w:rFonts w:ascii="Calibri" w:hAnsi="Calibri"/>
                <w:b w:val="0"/>
                <w:color w:val="333537"/>
                <w:sz w:val="14"/>
              </w:rPr>
              <w:t>PR-072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Geri döndürülebilir teknik iyileştirmeler için her seferinde ayrıca kullanıcı onayı gerekmez.</w:t>
            </w:r>
          </w:p>
        </w:tc>
      </w:tr>
      <w:tr>
        <w:tc>
          <w:tcPr>
            <w:tcW w:type="dxa" w:w="850"/>
            <w:vAlign w:val="center"/>
          </w:tcPr>
          <w:p>
            <w:pPr>
              <w:spacing w:after="0"/>
            </w:pPr>
            <w:r/>
            <w:r>
              <w:rPr>
                <w:rFonts w:ascii="Calibri" w:hAnsi="Calibri"/>
                <w:b w:val="0"/>
                <w:color w:val="333537"/>
                <w:sz w:val="14"/>
              </w:rPr>
              <w:t>PR-073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Kapsam değişikliği ayrıca açık kullanıcı onayı gerektirir.</w:t>
            </w:r>
          </w:p>
        </w:tc>
      </w:tr>
      <w:tr>
        <w:tc>
          <w:tcPr>
            <w:tcW w:type="dxa" w:w="850"/>
            <w:vAlign w:val="center"/>
          </w:tcPr>
          <w:p>
            <w:pPr>
              <w:spacing w:after="0"/>
            </w:pPr>
            <w:r/>
            <w:r>
              <w:rPr>
                <w:rFonts w:ascii="Calibri" w:hAnsi="Calibri"/>
                <w:b w:val="0"/>
                <w:color w:val="333537"/>
                <w:sz w:val="14"/>
              </w:rPr>
              <w:t>PR-074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Geri döndürülemez işlem ayrıca açık kullanıcı onayı gerektirir.</w:t>
            </w:r>
          </w:p>
        </w:tc>
      </w:tr>
      <w:tr>
        <w:tc>
          <w:tcPr>
            <w:tcW w:type="dxa" w:w="850"/>
            <w:vAlign w:val="center"/>
          </w:tcPr>
          <w:p>
            <w:pPr>
              <w:spacing w:after="0"/>
            </w:pPr>
            <w:r/>
            <w:r>
              <w:rPr>
                <w:rFonts w:ascii="Calibri" w:hAnsi="Calibri"/>
                <w:b w:val="0"/>
                <w:color w:val="333537"/>
                <w:sz w:val="14"/>
              </w:rPr>
              <w:t>PR-075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Gerçek veri silme ayrıca açık kullanıcı onayı gerektirir.</w:t>
            </w:r>
          </w:p>
        </w:tc>
      </w:tr>
      <w:tr>
        <w:tc>
          <w:tcPr>
            <w:tcW w:type="dxa" w:w="850"/>
            <w:vAlign w:val="center"/>
          </w:tcPr>
          <w:p>
            <w:pPr>
              <w:spacing w:after="0"/>
            </w:pPr>
            <w:r/>
            <w:r>
              <w:rPr>
                <w:rFonts w:ascii="Calibri" w:hAnsi="Calibri"/>
                <w:b w:val="0"/>
                <w:color w:val="333537"/>
                <w:sz w:val="14"/>
              </w:rPr>
              <w:t>PR-076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Veri mülkiyetini etkileyen değişiklik ayrıca açık kullanıcı onayı gerektirir.</w:t>
            </w:r>
          </w:p>
        </w:tc>
      </w:tr>
      <w:tr>
        <w:tc>
          <w:tcPr>
            <w:tcW w:type="dxa" w:w="850"/>
            <w:vAlign w:val="center"/>
          </w:tcPr>
          <w:p>
            <w:pPr>
              <w:spacing w:after="0"/>
            </w:pPr>
            <w:r/>
            <w:r>
              <w:rPr>
                <w:rFonts w:ascii="Calibri" w:hAnsi="Calibri"/>
                <w:b w:val="0"/>
                <w:color w:val="333537"/>
                <w:sz w:val="14"/>
              </w:rPr>
              <w:t>PR-077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Hukuki veya finansal taahhüt ayrıca açık kullanıcı onayı gerektirir.</w:t>
            </w:r>
          </w:p>
        </w:tc>
      </w:tr>
      <w:tr>
        <w:tc>
          <w:tcPr>
            <w:tcW w:type="dxa" w:w="850"/>
            <w:vAlign w:val="center"/>
          </w:tcPr>
          <w:p>
            <w:pPr>
              <w:spacing w:after="0"/>
            </w:pPr>
            <w:r/>
            <w:r>
              <w:rPr>
                <w:rFonts w:ascii="Calibri" w:hAnsi="Calibri"/>
                <w:b w:val="0"/>
                <w:color w:val="333537"/>
                <w:sz w:val="14"/>
              </w:rPr>
              <w:t>PR-078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Güvenlik kontrolünü zayıflatma ayrıca açık kullanıcı onayı gerektirir.</w:t>
            </w:r>
          </w:p>
        </w:tc>
      </w:tr>
      <w:tr>
        <w:tc>
          <w:tcPr>
            <w:tcW w:type="dxa" w:w="850"/>
            <w:vAlign w:val="center"/>
          </w:tcPr>
          <w:p>
            <w:pPr>
              <w:spacing w:after="0"/>
            </w:pPr>
            <w:r/>
            <w:r>
              <w:rPr>
                <w:rFonts w:ascii="Calibri" w:hAnsi="Calibri"/>
                <w:b w:val="0"/>
                <w:color w:val="333537"/>
                <w:sz w:val="14"/>
              </w:rPr>
              <w:t>PR-079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Üretim yayını ayrıca açık kullanıcı onayı gerektirir.</w:t>
            </w:r>
          </w:p>
        </w:tc>
      </w:tr>
      <w:tr>
        <w:tc>
          <w:tcPr>
            <w:tcW w:type="dxa" w:w="850"/>
            <w:vAlign w:val="center"/>
          </w:tcPr>
          <w:p>
            <w:pPr>
              <w:spacing w:after="0"/>
            </w:pPr>
            <w:r/>
            <w:r>
              <w:rPr>
                <w:rFonts w:ascii="Calibri" w:hAnsi="Calibri"/>
                <w:b w:val="0"/>
                <w:color w:val="333537"/>
                <w:sz w:val="14"/>
              </w:rPr>
              <w:t>PR-080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aktif geliştirme kanalıdır.</w:t>
            </w:r>
          </w:p>
        </w:tc>
      </w:tr>
      <w:tr>
        <w:tc>
          <w:tcPr>
            <w:tcW w:type="dxa" w:w="850"/>
            <w:vAlign w:val="center"/>
          </w:tcPr>
          <w:p>
            <w:pPr>
              <w:spacing w:after="0"/>
            </w:pPr>
            <w:r/>
            <w:r>
              <w:rPr>
                <w:rFonts w:ascii="Calibri" w:hAnsi="Calibri"/>
                <w:b w:val="0"/>
                <w:color w:val="333537"/>
                <w:sz w:val="14"/>
              </w:rPr>
              <w:t>PR-081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Silver test, kullanıcı kabulü ve geniş doğrulama kanalıdır.</w:t>
            </w:r>
          </w:p>
        </w:tc>
      </w:tr>
      <w:tr>
        <w:tc>
          <w:tcPr>
            <w:tcW w:type="dxa" w:w="850"/>
            <w:vAlign w:val="center"/>
          </w:tcPr>
          <w:p>
            <w:pPr>
              <w:spacing w:after="0"/>
            </w:pPr>
            <w:r/>
            <w:r>
              <w:rPr>
                <w:rFonts w:ascii="Calibri" w:hAnsi="Calibri"/>
                <w:b w:val="0"/>
                <w:color w:val="333537"/>
                <w:sz w:val="14"/>
              </w:rPr>
              <w:t>PR-082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Gold gerçek üretim ve gerçek kullanım kanalıdır.</w:t>
            </w:r>
          </w:p>
        </w:tc>
      </w:tr>
      <w:tr>
        <w:tc>
          <w:tcPr>
            <w:tcW w:type="dxa" w:w="850"/>
            <w:vAlign w:val="center"/>
          </w:tcPr>
          <w:p>
            <w:pPr>
              <w:spacing w:after="0"/>
            </w:pPr>
            <w:r/>
            <w:r>
              <w:rPr>
                <w:rFonts w:ascii="Calibri" w:hAnsi="Calibri"/>
                <w:b w:val="0"/>
                <w:color w:val="333537"/>
                <w:sz w:val="14"/>
              </w:rPr>
              <w:t>PR-083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Hiçbir yayın aşamasına otomatik terfi yapılmaz.</w:t>
            </w:r>
          </w:p>
        </w:tc>
      </w:tr>
      <w:tr>
        <w:tc>
          <w:tcPr>
            <w:tcW w:type="dxa" w:w="850"/>
            <w:vAlign w:val="center"/>
          </w:tcPr>
          <w:p>
            <w:pPr>
              <w:spacing w:after="0"/>
            </w:pPr>
            <w:r/>
            <w:r>
              <w:rPr>
                <w:rFonts w:ascii="Calibri" w:hAnsi="Calibri"/>
                <w:b w:val="0"/>
                <w:color w:val="333537"/>
                <w:sz w:val="14"/>
              </w:rPr>
              <w:t>PR-084</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Güncel aşama kullanıcı tarafından değiştirilmedikçe Bronze RC2 Active Development olarak kabul edilir.</w:t>
            </w:r>
          </w:p>
        </w:tc>
      </w:tr>
      <w:tr>
        <w:tc>
          <w:tcPr>
            <w:tcW w:type="dxa" w:w="850"/>
            <w:vAlign w:val="center"/>
          </w:tcPr>
          <w:p>
            <w:pPr>
              <w:spacing w:after="0"/>
            </w:pPr>
            <w:r/>
            <w:r>
              <w:rPr>
                <w:rFonts w:ascii="Calibri" w:hAnsi="Calibri"/>
                <w:b w:val="0"/>
                <w:color w:val="333537"/>
                <w:sz w:val="14"/>
              </w:rPr>
              <w:t>PR-085</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Bronze Final, Code Freeze, Silver veya Gold kendiliğinden ilan edilemez.</w:t>
            </w:r>
          </w:p>
        </w:tc>
      </w:tr>
      <w:tr>
        <w:tc>
          <w:tcPr>
            <w:tcW w:type="dxa" w:w="850"/>
            <w:vAlign w:val="center"/>
          </w:tcPr>
          <w:p>
            <w:pPr>
              <w:spacing w:after="0"/>
            </w:pPr>
            <w:r/>
            <w:r>
              <w:rPr>
                <w:rFonts w:ascii="Calibri" w:hAnsi="Calibri"/>
                <w:b w:val="0"/>
                <w:color w:val="333537"/>
                <w:sz w:val="14"/>
              </w:rPr>
              <w:t>PR-086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Çalıştırılmamış hiçbir test veya doğrulama PASS sayılamaz.</w:t>
            </w:r>
          </w:p>
        </w:tc>
      </w:tr>
      <w:tr>
        <w:tc>
          <w:tcPr>
            <w:tcW w:type="dxa" w:w="850"/>
            <w:vAlign w:val="center"/>
          </w:tcPr>
          <w:p>
            <w:pPr>
              <w:spacing w:after="0"/>
            </w:pPr>
            <w:r/>
            <w:r>
              <w:rPr>
                <w:rFonts w:ascii="Calibri" w:hAnsi="Calibri"/>
                <w:b w:val="0"/>
                <w:color w:val="333537"/>
                <w:sz w:val="14"/>
              </w:rPr>
              <w:t>PR-087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Çalıştırılmayan compile, type-check, test, build, smoke, Windows launch, installer, screenshot veya UAT kapısı NOT_RUN kalır.</w:t>
            </w:r>
          </w:p>
        </w:tc>
      </w:tr>
      <w:tr>
        <w:tc>
          <w:tcPr>
            <w:tcW w:type="dxa" w:w="850"/>
            <w:vAlign w:val="center"/>
          </w:tcPr>
          <w:p>
            <w:pPr>
              <w:spacing w:after="0"/>
            </w:pPr>
            <w:r/>
            <w:r>
              <w:rPr>
                <w:rFonts w:ascii="Calibri" w:hAnsi="Calibri"/>
                <w:b w:val="0"/>
                <w:color w:val="333537"/>
                <w:sz w:val="14"/>
              </w:rPr>
              <w:t>PR-088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Tanı amaçlı --no-sandbox çalıştırması resmî PASS değildir; yalnız DIAGNOSTIC_PASS olarak ayrılır.</w:t>
            </w:r>
          </w:p>
        </w:tc>
      </w:tr>
      <w:tr>
        <w:tc>
          <w:tcPr>
            <w:tcW w:type="dxa" w:w="850"/>
            <w:vAlign w:val="center"/>
          </w:tcPr>
          <w:p>
            <w:pPr>
              <w:spacing w:after="0"/>
            </w:pPr>
            <w:r/>
            <w:r>
              <w:rPr>
                <w:rFonts w:ascii="Calibri" w:hAnsi="Calibri"/>
                <w:b w:val="0"/>
                <w:color w:val="333537"/>
                <w:sz w:val="14"/>
              </w:rPr>
              <w:t>PR-089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Ara Bronze buildlerinde hedefli regresyon, mimari ve güvenlik kontrolleri uygulanabilir; tam UAT ve toplu ekran görüntüleri final hazırlığına bırakılabilir.</w:t>
            </w:r>
          </w:p>
        </w:tc>
      </w:tr>
      <w:tr>
        <w:tc>
          <w:tcPr>
            <w:tcW w:type="dxa" w:w="850"/>
            <w:vAlign w:val="center"/>
          </w:tcPr>
          <w:p>
            <w:pPr>
              <w:spacing w:after="0"/>
            </w:pPr>
            <w:r/>
            <w:r>
              <w:rPr>
                <w:rFonts w:ascii="Calibri" w:hAnsi="Calibri"/>
                <w:b w:val="0"/>
                <w:color w:val="333537"/>
                <w:sz w:val="14"/>
              </w:rPr>
              <w:t>PR-090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tc>
      </w:tr>
      <w:tr>
        <w:tc>
          <w:tcPr>
            <w:tcW w:type="dxa" w:w="850"/>
            <w:vAlign w:val="center"/>
          </w:tcPr>
          <w:p>
            <w:pPr>
              <w:spacing w:after="0"/>
            </w:pPr>
            <w:r/>
            <w:r>
              <w:rPr>
                <w:rFonts w:ascii="Calibri" w:hAnsi="Calibri"/>
                <w:b w:val="0"/>
                <w:color w:val="333537"/>
                <w:sz w:val="14"/>
              </w:rPr>
              <w:t>PR-091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Zorunlu doğrulama kapıları geçmeden Final, Silver veya Gold kararı verilmez.</w:t>
            </w:r>
          </w:p>
        </w:tc>
      </w:tr>
      <w:tr>
        <w:tc>
          <w:tcPr>
            <w:tcW w:type="dxa" w:w="850"/>
            <w:vAlign w:val="center"/>
          </w:tcPr>
          <w:p>
            <w:pPr>
              <w:spacing w:after="0"/>
            </w:pPr>
            <w:r/>
            <w:r>
              <w:rPr>
                <w:rFonts w:ascii="Calibri" w:hAnsi="Calibri"/>
                <w:b w:val="0"/>
                <w:color w:val="333537"/>
                <w:sz w:val="14"/>
              </w:rPr>
              <w:t>PR-092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kaynak teslimi manifest ile doğrulanır.</w:t>
            </w:r>
          </w:p>
        </w:tc>
      </w:tr>
      <w:tr>
        <w:tc>
          <w:tcPr>
            <w:tcW w:type="dxa" w:w="850"/>
            <w:vAlign w:val="center"/>
          </w:tcPr>
          <w:p>
            <w:pPr>
              <w:spacing w:after="0"/>
            </w:pPr>
            <w:r/>
            <w:r>
              <w:rPr>
                <w:rFonts w:ascii="Calibri" w:hAnsi="Calibri"/>
                <w:b w:val="0"/>
                <w:color w:val="333537"/>
                <w:sz w:val="14"/>
              </w:rPr>
              <w:t>PR-093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kaynak tesliminde SHA256SUMS.txt bulunur.</w:t>
            </w:r>
          </w:p>
        </w:tc>
      </w:tr>
      <w:tr>
        <w:tc>
          <w:tcPr>
            <w:tcW w:type="dxa" w:w="850"/>
            <w:vAlign w:val="center"/>
          </w:tcPr>
          <w:p>
            <w:pPr>
              <w:spacing w:after="0"/>
            </w:pPr>
            <w:r/>
            <w:r>
              <w:rPr>
                <w:rFonts w:ascii="Calibri" w:hAnsi="Calibri"/>
                <w:b w:val="0"/>
                <w:color w:val="333537"/>
                <w:sz w:val="14"/>
              </w:rPr>
              <w:t>PR-094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Kaynak ZIP deterministik olmalıdır.</w:t>
            </w:r>
          </w:p>
        </w:tc>
      </w:tr>
      <w:tr>
        <w:tc>
          <w:tcPr>
            <w:tcW w:type="dxa" w:w="850"/>
            <w:vAlign w:val="center"/>
          </w:tcPr>
          <w:p>
            <w:pPr>
              <w:spacing w:after="0"/>
            </w:pPr>
            <w:r/>
            <w:r>
              <w:rPr>
                <w:rFonts w:ascii="Calibri" w:hAnsi="Calibri"/>
                <w:b w:val="0"/>
                <w:color w:val="333537"/>
                <w:sz w:val="14"/>
              </w:rPr>
              <w:t>PR-095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Kaynak ZIP’in ayrı dış SHA-256 kanıtı bulunmalıdır.</w:t>
            </w:r>
          </w:p>
        </w:tc>
      </w:tr>
      <w:tr>
        <w:tc>
          <w:tcPr>
            <w:tcW w:type="dxa" w:w="850"/>
            <w:vAlign w:val="center"/>
          </w:tcPr>
          <w:p>
            <w:pPr>
              <w:spacing w:after="0"/>
            </w:pPr>
            <w:r/>
            <w:r>
              <w:rPr>
                <w:rFonts w:ascii="Calibri" w:hAnsi="Calibri"/>
                <w:b w:val="0"/>
                <w:color w:val="333537"/>
                <w:sz w:val="14"/>
              </w:rPr>
              <w:t>PR-096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Aynı kaynak ağacından iki kez üretilen arşiv byte düzeyinde aynı olmalıdır.</w:t>
            </w:r>
          </w:p>
        </w:tc>
      </w:tr>
      <w:tr>
        <w:tc>
          <w:tcPr>
            <w:tcW w:type="dxa" w:w="850"/>
            <w:vAlign w:val="center"/>
          </w:tcPr>
          <w:p>
            <w:pPr>
              <w:spacing w:after="0"/>
            </w:pPr>
            <w:r/>
            <w:r>
              <w:rPr>
                <w:rFonts w:ascii="Calibri" w:hAnsi="Calibri"/>
                <w:b w:val="0"/>
                <w:color w:val="333537"/>
                <w:sz w:val="14"/>
              </w:rPr>
              <w:t>PR-097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Kod ile bağlayıcı belge çelişemez.</w:t>
            </w:r>
          </w:p>
        </w:tc>
      </w:tr>
      <w:tr>
        <w:tc>
          <w:tcPr>
            <w:tcW w:type="dxa" w:w="850"/>
            <w:vAlign w:val="center"/>
          </w:tcPr>
          <w:p>
            <w:pPr>
              <w:spacing w:after="0"/>
            </w:pPr>
            <w:r/>
            <w:r>
              <w:rPr>
                <w:rFonts w:ascii="Calibri" w:hAnsi="Calibri"/>
                <w:b w:val="0"/>
                <w:color w:val="333537"/>
                <w:sz w:val="14"/>
              </w:rPr>
              <w:t>PR-098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Mimari, veri şeması, güvenlik, UI/UX, platform, kapsam veya sürüm değişikliği ilgili belgelere işlenir.</w:t>
            </w:r>
          </w:p>
        </w:tc>
      </w:tr>
      <w:tr>
        <w:tc>
          <w:tcPr>
            <w:tcW w:type="dxa" w:w="850"/>
            <w:vAlign w:val="center"/>
          </w:tcPr>
          <w:p>
            <w:pPr>
              <w:spacing w:after="0"/>
            </w:pPr>
            <w:r/>
            <w:r>
              <w:rPr>
                <w:rFonts w:ascii="Calibri" w:hAnsi="Calibri"/>
                <w:b w:val="0"/>
                <w:color w:val="333537"/>
                <w:sz w:val="14"/>
              </w:rPr>
              <w:t>PR-099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yeni bağlayıcı karar benzersiz DEC-xxx kimliğiyle izlenir.</w:t>
            </w:r>
          </w:p>
        </w:tc>
      </w:tr>
      <w:tr>
        <w:tc>
          <w:tcPr>
            <w:tcW w:type="dxa" w:w="850"/>
            <w:vAlign w:val="center"/>
          </w:tcPr>
          <w:p>
            <w:pPr>
              <w:spacing w:after="0"/>
            </w:pPr>
            <w:r/>
            <w:r>
              <w:rPr>
                <w:rFonts w:ascii="Calibri" w:hAnsi="Calibri"/>
                <w:b w:val="0"/>
                <w:color w:val="333537"/>
                <w:sz w:val="14"/>
              </w:rPr>
              <w:t>PR-100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Karar kaydında tarih, etkilenen belgeler, kod karşılığı ve doğrulama kanıtı bulunur.</w:t>
            </w:r>
          </w:p>
        </w:tc>
      </w:tr>
      <w:tr>
        <w:tc>
          <w:tcPr>
            <w:tcW w:type="dxa" w:w="850"/>
            <w:vAlign w:val="center"/>
          </w:tcPr>
          <w:p>
            <w:pPr>
              <w:spacing w:after="0"/>
            </w:pPr>
            <w:r/>
            <w:r>
              <w:rPr>
                <w:rFonts w:ascii="Calibri" w:hAnsi="Calibri"/>
                <w:b w:val="0"/>
                <w:color w:val="333537"/>
                <w:sz w:val="14"/>
              </w:rPr>
              <w:t>PR-101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Gerekli belge güncellenmeden ilgili kapsam tamamlandı sayılamaz.</w:t>
            </w:r>
          </w:p>
        </w:tc>
      </w:tr>
      <w:tr>
        <w:tc>
          <w:tcPr>
            <w:tcW w:type="dxa" w:w="850"/>
            <w:vAlign w:val="center"/>
          </w:tcPr>
          <w:p>
            <w:pPr>
              <w:spacing w:after="0"/>
            </w:pPr>
            <w:r/>
            <w:r>
              <w:rPr>
                <w:rFonts w:ascii="Calibri" w:hAnsi="Calibri"/>
                <w:b w:val="0"/>
                <w:color w:val="333537"/>
                <w:sz w:val="14"/>
              </w:rPr>
              <w:t>PR-102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Tarihsel belgeler silinmez ancak güncel aktif belgelerin önüne geçemez.</w:t>
            </w:r>
          </w:p>
        </w:tc>
      </w:tr>
      <w:tr>
        <w:tc>
          <w:tcPr>
            <w:tcW w:type="dxa" w:w="850"/>
            <w:vAlign w:val="center"/>
          </w:tcPr>
          <w:p>
            <w:pPr>
              <w:spacing w:after="0"/>
            </w:pPr>
            <w:r/>
            <w:r>
              <w:rPr>
                <w:rFonts w:ascii="Calibri" w:hAnsi="Calibri"/>
                <w:b w:val="0"/>
                <w:color w:val="333537"/>
                <w:sz w:val="14"/>
              </w:rPr>
              <w:t>PR-103</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Ana Build Defteri projenin tek yetkili devam noktasıdır; yeni sohbet veya geliştirme oturumu önce bu dosyayı ve güncel kural setini okumalıdır.</w:t>
            </w:r>
          </w:p>
        </w:tc>
      </w:tr>
      <w:tr>
        <w:tc>
          <w:tcPr>
            <w:tcW w:type="dxa" w:w="850"/>
            <w:vAlign w:val="center"/>
          </w:tcPr>
          <w:p>
            <w:pPr>
              <w:spacing w:after="0"/>
            </w:pPr>
            <w:r/>
            <w:r>
              <w:rPr>
                <w:rFonts w:ascii="Calibri" w:hAnsi="Calibri"/>
                <w:b w:val="0"/>
                <w:color w:val="333537"/>
                <w:sz w:val="14"/>
              </w:rPr>
              <w:t>PR-104</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Her build Ana Build Defteri’ne işlenmeden, kural seti SHA-256 özetiyle kabul edilmeden ve build sonrası kullanıcı durum bildirimi kaydedilmeden tamamlanmış sayılamaz.</w:t>
            </w:r>
          </w:p>
        </w:tc>
      </w:tr>
      <w:tr>
        <w:tc>
          <w:tcPr>
            <w:tcW w:type="dxa" w:w="850"/>
            <w:vAlign w:val="center"/>
          </w:tcPr>
          <w:p>
            <w:pPr>
              <w:spacing w:after="0"/>
            </w:pPr>
            <w:r/>
            <w:r>
              <w:rPr>
                <w:rFonts w:ascii="Calibri" w:hAnsi="Calibri"/>
                <w:b w:val="0"/>
                <w:color w:val="333537"/>
                <w:sz w:val="14"/>
              </w:rPr>
              <w:t>PR-105</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Geçmiş build kayıtları geriye dönük değiştirilmez; düzeltme yeni build kaydıyla açıklanır ve yapılan/kalan işler tek Ana Build Defteri üzerinden yürütülür.</w:t>
            </w:r>
          </w:p>
        </w:tc>
      </w:tr>
      <w:tr>
        <w:tc>
          <w:tcPr>
            <w:tcW w:type="dxa" w:w="850"/>
            <w:vAlign w:val="center"/>
          </w:tcPr>
          <w:p>
            <w:pPr>
              <w:spacing w:after="0"/>
            </w:pPr>
            <w:r/>
            <w:r>
              <w:rPr>
                <w:rFonts w:ascii="Calibri" w:hAnsi="Calibri"/>
                <w:b w:val="0"/>
                <w:color w:val="333537"/>
                <w:sz w:val="14"/>
              </w:rPr>
              <w:t>PR-106</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Her build tamamlandıktan sonra sohbet bağlamının tahmini kullanılan ve kalan yüzdesi hesaplanır, Ana Build Defteri build kaydına yazılır ve build sonu kullanıcı durum bildiriminde açıkça belirtilir.</w:t>
            </w:r>
          </w:p>
        </w:tc>
      </w:tr>
      <w:tr>
        <w:tc>
          <w:tcPr>
            <w:tcW w:type="dxa" w:w="850"/>
            <w:vAlign w:val="center"/>
          </w:tcPr>
          <w:p>
            <w:pPr>
              <w:spacing w:after="0"/>
            </w:pPr>
            <w:r/>
            <w:r>
              <w:rPr>
                <w:rFonts w:ascii="Calibri" w:hAnsi="Calibri"/>
                <w:b w:val="0"/>
                <w:color w:val="333537"/>
                <w:sz w:val="14"/>
              </w:rPr>
              <w:t>PR-107</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Sohbet bağlamı için yüzde 85-89 tahmini kullanım uyarı bölgesidir; kullanıcıya yaklaşan sohbet devri bildirilir ve uzun yeni işlerin aynı sohbette başlatılmasından kaçınılır.</w:t>
            </w:r>
          </w:p>
        </w:tc>
      </w:tr>
      <w:tr>
        <w:tc>
          <w:tcPr>
            <w:tcW w:type="dxa" w:w="850"/>
            <w:vAlign w:val="center"/>
          </w:tcPr>
          <w:p>
            <w:pPr>
              <w:spacing w:after="0"/>
            </w:pPr>
            <w:r/>
            <w:r>
              <w:rPr>
                <w:rFonts w:ascii="Calibri" w:hAnsi="Calibri"/>
                <w:b w:val="0"/>
                <w:color w:val="333537"/>
                <w:sz w:val="14"/>
              </w:rPr>
              <w:t>PR-108</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Sohbet bağlamının tahmini kullanımı yüzde 90 veya üzerindeyse yeni build başlatılamaz; mevcut tamamlanmış build devir noktası olarak korunur ve build başlangıç kapısı işlemi reddeder.</w:t>
            </w:r>
          </w:p>
        </w:tc>
      </w:tr>
      <w:tr>
        <w:tc>
          <w:tcPr>
            <w:tcW w:type="dxa" w:w="850"/>
            <w:vAlign w:val="center"/>
          </w:tcPr>
          <w:p>
            <w:pPr>
              <w:spacing w:after="0"/>
            </w:pPr>
            <w:r/>
            <w:r>
              <w:rPr>
                <w:rFonts w:ascii="Calibri" w:hAnsi="Calibri"/>
                <w:b w:val="0"/>
                <w:color w:val="333537"/>
                <w:sz w:val="14"/>
              </w:rPr>
              <w:t>PR-109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tc>
      </w:tr>
      <w:tr>
        <w:tc>
          <w:tcPr>
            <w:tcW w:type="dxa" w:w="850"/>
            <w:vAlign w:val="center"/>
          </w:tcPr>
          <w:p>
            <w:pPr>
              <w:spacing w:after="0"/>
            </w:pPr>
            <w:r/>
            <w:r>
              <w:rPr>
                <w:rFonts w:ascii="Calibri" w:hAnsi="Calibri"/>
                <w:b w:val="0"/>
                <w:color w:val="333537"/>
                <w:sz w:val="14"/>
              </w:rPr>
              <w:t>PR-110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Yeni sohbet, üretilmiş devir promptu ve Ana Build Defteri üzerinden devam eder; kullanıcıdan proje kurallarını veya nerede kalındığını yeniden öğretmesi istenmez.</w:t>
            </w:r>
          </w:p>
        </w:tc>
      </w:tr>
      <w:tr>
        <w:tc>
          <w:tcPr>
            <w:tcW w:type="dxa" w:w="850"/>
            <w:vAlign w:val="center"/>
          </w:tcPr>
          <w:p>
            <w:pPr>
              <w:spacing w:after="0"/>
            </w:pPr>
            <w:r/>
            <w:r>
              <w:rPr>
                <w:rFonts w:ascii="Calibri" w:hAnsi="Calibri"/>
                <w:b w:val="0"/>
                <w:color w:val="333537"/>
                <w:sz w:val="14"/>
              </w:rPr>
              <w:t>PR-111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Yüzde 90 sohbet devri eşiği istisnasızdır; eşik aşıldığında teknik kolaylık, aciliyet veya küçük değişiklik gerekçesiyle aynı sohbette yeni build başlatma yolu açılamaz.</w:t>
            </w:r>
          </w:p>
        </w:tc>
      </w:tr>
      <w:tr>
        <w:tc>
          <w:tcPr>
            <w:tcW w:type="dxa" w:w="850"/>
            <w:vAlign w:val="center"/>
          </w:tcPr>
          <w:p>
            <w:pPr>
              <w:spacing w:after="0"/>
            </w:pPr>
            <w:r/>
            <w:r>
              <w:rPr>
                <w:rFonts w:ascii="Calibri" w:hAnsi="Calibri"/>
                <w:b w:val="0"/>
                <w:color w:val="333537"/>
                <w:sz w:val="14"/>
              </w:rPr>
              <w:t>PR-112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20 Temmuz 2026 öncesi bütün sohbet, belge, dosya, karar ve bağlam bu proje için FORBIDDEN_SOURCE kabul edilir; aynı bilgi ancak 20 Temmuz 2026 veya sonrasında açıkça yeniden kabul edilmiş bir kaynakta yer alıyorsa kullanılabilir.</w:t>
            </w:r>
          </w:p>
        </w:tc>
      </w:tr>
      <w:tr>
        <w:tc>
          <w:tcPr>
            <w:tcW w:type="dxa" w:w="850"/>
            <w:vAlign w:val="center"/>
          </w:tcPr>
          <w:p>
            <w:pPr>
              <w:spacing w:after="0"/>
            </w:pPr>
            <w:r/>
            <w:r>
              <w:rPr>
                <w:rFonts w:ascii="Calibri" w:hAnsi="Calibri"/>
                <w:b w:val="0"/>
                <w:color w:val="333537"/>
                <w:sz w:val="14"/>
              </w:rPr>
              <w:t>PR-113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Eski sohbetler veya eski projeler silinemese dahi bu projeyle ilişkilendirilemez, bunlardan bilgi aktarılmaz, proje yanıtlarında gösterilmez ve yeni build planı türetilmez.</w:t>
            </w:r>
          </w:p>
        </w:tc>
      </w:tr>
      <w:tr>
        <w:tc>
          <w:tcPr>
            <w:tcW w:type="dxa" w:w="850"/>
            <w:vAlign w:val="center"/>
          </w:tcPr>
          <w:p>
            <w:pPr>
              <w:spacing w:after="0"/>
            </w:pPr>
            <w:r/>
            <w:r>
              <w:rPr>
                <w:rFonts w:ascii="Calibri" w:hAnsi="Calibri"/>
                <w:b w:val="0"/>
                <w:color w:val="333537"/>
                <w:sz w:val="14"/>
              </w:rPr>
              <w:t>PR-114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tc>
      </w:tr>
      <w:tr>
        <w:tc>
          <w:tcPr>
            <w:tcW w:type="dxa" w:w="850"/>
            <w:vAlign w:val="center"/>
          </w:tcPr>
          <w:p>
            <w:pPr>
              <w:spacing w:after="0"/>
            </w:pPr>
            <w:r/>
            <w:r>
              <w:rPr>
                <w:rFonts w:ascii="Calibri" w:hAnsi="Calibri"/>
                <w:b w:val="0"/>
                <w:color w:val="333537"/>
                <w:sz w:val="14"/>
              </w:rPr>
              <w:t>PR-115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tc>
      </w:tr>
      <w:tr>
        <w:tc>
          <w:tcPr>
            <w:tcW w:type="dxa" w:w="850"/>
            <w:vAlign w:val="center"/>
          </w:tcPr>
          <w:p>
            <w:pPr>
              <w:spacing w:after="0"/>
            </w:pPr>
            <w:r/>
            <w:r>
              <w:rPr>
                <w:rFonts w:ascii="Calibri" w:hAnsi="Calibri"/>
                <w:b w:val="0"/>
                <w:color w:val="333537"/>
                <w:sz w:val="14"/>
              </w:rPr>
              <w:t>PR-116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tc>
      </w:tr>
      <w:tr>
        <w:tc>
          <w:tcPr>
            <w:tcW w:type="dxa" w:w="850"/>
            <w:vAlign w:val="center"/>
          </w:tcPr>
          <w:p>
            <w:pPr>
              <w:spacing w:after="0"/>
            </w:pPr>
            <w:r/>
            <w:r>
              <w:rPr>
                <w:rFonts w:ascii="Calibri" w:hAnsi="Calibri"/>
                <w:b w:val="0"/>
                <w:color w:val="333537"/>
                <w:sz w:val="14"/>
              </w:rPr>
              <w:t>PR-117</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tc>
      </w:tr>
      <w:tr>
        <w:tc>
          <w:tcPr>
            <w:tcW w:type="dxa" w:w="850"/>
            <w:vAlign w:val="center"/>
          </w:tcPr>
          <w:p>
            <w:pPr>
              <w:spacing w:after="0"/>
            </w:pPr>
            <w:r/>
            <w:r>
              <w:rPr>
                <w:rFonts w:ascii="Calibri" w:hAnsi="Calibri"/>
                <w:b w:val="0"/>
                <w:color w:val="333537"/>
                <w:sz w:val="14"/>
              </w:rPr>
              <w:t>PR-118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20 Temmuz 2026 öncesinde geliştirilmiş yatırım/otomatik işlem projesi, broker, Matriks, İş Yatırım, Deniz Yatırım, piyasa verisi veya otomatik emir kararları bu projede bağlam, tasarım veya gereksinim kaynağı olarak kullanılamaz.</w:t>
            </w:r>
          </w:p>
        </w:tc>
      </w:tr>
      <w:tr>
        <w:tc>
          <w:tcPr>
            <w:tcW w:type="dxa" w:w="850"/>
            <w:vAlign w:val="center"/>
          </w:tcPr>
          <w:p>
            <w:pPr>
              <w:spacing w:after="0"/>
            </w:pPr>
            <w:r/>
            <w:r>
              <w:rPr>
                <w:rFonts w:ascii="Calibri" w:hAnsi="Calibri"/>
                <w:b w:val="0"/>
                <w:color w:val="333537"/>
                <w:sz w:val="14"/>
              </w:rPr>
              <w:t>PR-119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tc>
      </w:tr>
      <w:tr>
        <w:tc>
          <w:tcPr>
            <w:tcW w:type="dxa" w:w="850"/>
            <w:vAlign w:val="center"/>
          </w:tcPr>
          <w:p>
            <w:pPr>
              <w:spacing w:after="0"/>
            </w:pPr>
            <w:r/>
            <w:r>
              <w:rPr>
                <w:rFonts w:ascii="Calibri" w:hAnsi="Calibri"/>
                <w:b w:val="0"/>
                <w:color w:val="333537"/>
                <w:sz w:val="14"/>
              </w:rPr>
              <w:t>PR-120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tc>
      </w:tr>
      <w:tr>
        <w:tc>
          <w:tcPr>
            <w:tcW w:type="dxa" w:w="850"/>
            <w:vAlign w:val="center"/>
          </w:tcPr>
          <w:p>
            <w:pPr>
              <w:spacing w:after="0"/>
            </w:pPr>
            <w:r/>
            <w:r>
              <w:rPr>
                <w:rFonts w:ascii="Calibri" w:hAnsi="Calibri"/>
                <w:b w:val="0"/>
                <w:color w:val="333537"/>
                <w:sz w:val="14"/>
              </w:rPr>
              <w:t>PR-121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tc>
      </w:tr>
      <w:tr>
        <w:tc>
          <w:tcPr>
            <w:tcW w:type="dxa" w:w="850"/>
            <w:vAlign w:val="center"/>
          </w:tcPr>
          <w:p>
            <w:pPr>
              <w:spacing w:after="0"/>
            </w:pPr>
            <w:r/>
            <w:r>
              <w:rPr>
                <w:rFonts w:ascii="Calibri" w:hAnsi="Calibri"/>
                <w:b w:val="0"/>
                <w:color w:val="333537"/>
                <w:sz w:val="14"/>
              </w:rPr>
              <w:t>PR-122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Üretim uygulaması nötr ve boş başlangıçla açılır; production seed/demo aile, kişi, soy ağacı, finans, sağlık, belge, konum veya olay verisi içeremez. Test fixture’ları yalnız test alanında anonim/nötr olabilir ve üretim paketine giremez.</w:t>
            </w:r>
          </w:p>
        </w:tc>
      </w:tr>
      <w:tr>
        <w:tc>
          <w:tcPr>
            <w:tcW w:type="dxa" w:w="850"/>
            <w:vAlign w:val="center"/>
          </w:tcPr>
          <w:p>
            <w:pPr>
              <w:spacing w:after="0"/>
            </w:pPr>
            <w:r/>
            <w:r>
              <w:rPr>
                <w:rFonts w:ascii="Calibri" w:hAnsi="Calibri"/>
                <w:b w:val="0"/>
                <w:color w:val="333537"/>
                <w:sz w:val="14"/>
              </w:rPr>
              <w:t>PR-123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tc>
      </w:tr>
      <w:tr>
        <w:tc>
          <w:tcPr>
            <w:tcW w:type="dxa" w:w="850"/>
            <w:vAlign w:val="center"/>
          </w:tcPr>
          <w:p>
            <w:pPr>
              <w:spacing w:after="0"/>
            </w:pPr>
            <w:r/>
            <w:r>
              <w:rPr>
                <w:rFonts w:ascii="Calibri" w:hAnsi="Calibri"/>
                <w:b w:val="0"/>
                <w:color w:val="333537"/>
                <w:sz w:val="14"/>
              </w:rPr>
              <w:t>PR-124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tc>
      </w:tr>
      <w:tr>
        <w:tc>
          <w:tcPr>
            <w:tcW w:type="dxa" w:w="850"/>
            <w:vAlign w:val="center"/>
          </w:tcPr>
          <w:p>
            <w:pPr>
              <w:spacing w:after="0"/>
            </w:pPr>
            <w:r/>
            <w:r>
              <w:rPr>
                <w:rFonts w:ascii="Calibri" w:hAnsi="Calibri"/>
                <w:b w:val="0"/>
                <w:color w:val="333537"/>
                <w:sz w:val="14"/>
              </w:rPr>
              <w:t>PR-125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 sonunda güncel Master Proje Dokümantasyonu hem DOCX hem PDF olarak üretilir ve doğrulanır; etkilenmiş aktif belgeler güncellenmeden ve güncel Word/PDF paketi oluşmadan build COMPLETED olamaz.</w:t>
            </w:r>
          </w:p>
        </w:tc>
      </w:tr>
      <w:tr>
        <w:tc>
          <w:tcPr>
            <w:tcW w:type="dxa" w:w="850"/>
            <w:vAlign w:val="center"/>
          </w:tcPr>
          <w:p>
            <w:pPr>
              <w:spacing w:after="0"/>
            </w:pPr>
            <w:r/>
            <w:r>
              <w:rPr>
                <w:rFonts w:ascii="Calibri" w:hAnsi="Calibri"/>
                <w:b w:val="0"/>
                <w:color w:val="333537"/>
                <w:sz w:val="14"/>
              </w:rPr>
              <w:t>PR-126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tc>
      </w:tr>
      <w:tr>
        <w:tc>
          <w:tcPr>
            <w:tcW w:type="dxa" w:w="850"/>
            <w:vAlign w:val="center"/>
          </w:tcPr>
          <w:p>
            <w:pPr>
              <w:spacing w:after="0"/>
            </w:pPr>
            <w:r/>
            <w:r>
              <w:rPr>
                <w:rFonts w:ascii="Calibri" w:hAnsi="Calibri"/>
                <w:b w:val="0"/>
                <w:color w:val="333537"/>
                <w:sz w:val="14"/>
              </w:rPr>
              <w:t>PR-127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Geliştirici/üretici/owner/author/copyright metadata dahil aktif proje metadata’sında doğal kişi kimliği kullanılmaz; gerekli sahiplik ve üretici ifadeleri yalnız marka kimliği “Panthera pardus tulliana” ve ürün kimliği üzerinden tutulur.</w:t>
            </w:r>
          </w:p>
        </w:tc>
      </w:tr>
      <w:tr>
        <w:tc>
          <w:tcPr>
            <w:tcW w:type="dxa" w:w="850"/>
            <w:vAlign w:val="center"/>
          </w:tcPr>
          <w:p>
            <w:pPr>
              <w:spacing w:after="0"/>
            </w:pPr>
            <w:r/>
            <w:r>
              <w:rPr>
                <w:rFonts w:ascii="Calibri" w:hAnsi="Calibri"/>
                <w:b w:val="0"/>
                <w:color w:val="333537"/>
                <w:sz w:val="14"/>
              </w:rPr>
              <w:t>PR-128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tc>
      </w:tr>
      <w:tr>
        <w:tc>
          <w:tcPr>
            <w:tcW w:type="dxa" w:w="850"/>
            <w:vAlign w:val="center"/>
          </w:tcPr>
          <w:p>
            <w:pPr>
              <w:spacing w:after="0"/>
            </w:pPr>
            <w:r/>
            <w:r>
              <w:rPr>
                <w:rFonts w:ascii="Calibri" w:hAnsi="Calibri"/>
                <w:b w:val="0"/>
                <w:color w:val="333537"/>
                <w:sz w:val="14"/>
              </w:rPr>
              <w:t>PR-129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UI Görsel Referans Manifestosu kişisel/demo içerikten arındırılmış marka ve boş durum referansıdır; örnek kişi, aile, dosya, sağlık, finans veya özel yaşam verisi görsel baseline’a konulamaz.</w:t>
            </w:r>
          </w:p>
        </w:tc>
      </w:tr>
      <w:tr>
        <w:tc>
          <w:tcPr>
            <w:tcW w:type="dxa" w:w="850"/>
            <w:vAlign w:val="center"/>
          </w:tcPr>
          <w:p>
            <w:pPr>
              <w:spacing w:after="0"/>
            </w:pPr>
            <w:r/>
            <w:r>
              <w:rPr>
                <w:rFonts w:ascii="Calibri" w:hAnsi="Calibri"/>
                <w:b w:val="0"/>
                <w:color w:val="333537"/>
                <w:sz w:val="14"/>
              </w:rPr>
              <w:t>PR-130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Aktif dosyalar ile tarihsel kanıt dosyaları açıkça sınıflandırılır. Aktif dosyalar güncel build sürümünde olmak zorundadır; tarihsel kanıtlar özgün sürümünü korur ve aktif ürün davranışını belirleyemez.</w:t>
            </w:r>
          </w:p>
        </w:tc>
      </w:tr>
      <w:tr>
        <w:tc>
          <w:tcPr>
            <w:tcW w:type="dxa" w:w="850"/>
            <w:vAlign w:val="center"/>
          </w:tcPr>
          <w:p>
            <w:pPr>
              <w:spacing w:after="0"/>
            </w:pPr>
            <w:r/>
            <w:r>
              <w:rPr>
                <w:rFonts w:ascii="Calibri" w:hAnsi="Calibri"/>
                <w:b w:val="0"/>
                <w:color w:val="333537"/>
                <w:sz w:val="14"/>
              </w:rPr>
              <w:t>PR-131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buildde VERSION_SWEEP_GATE çalıştırılır; aktif sürüm taşıyan dosyalarda eski build/sürüm bulunursa build kapanışı reddedilir.</w:t>
            </w:r>
          </w:p>
        </w:tc>
      </w:tr>
      <w:tr>
        <w:tc>
          <w:tcPr>
            <w:tcW w:type="dxa" w:w="850"/>
            <w:vAlign w:val="center"/>
          </w:tcPr>
          <w:p>
            <w:pPr>
              <w:spacing w:after="0"/>
            </w:pPr>
            <w:r/>
            <w:r>
              <w:rPr>
                <w:rFonts w:ascii="Calibri" w:hAnsi="Calibri"/>
                <w:b w:val="0"/>
                <w:color w:val="333537"/>
                <w:sz w:val="14"/>
              </w:rPr>
              <w:t>PR-132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buildde PERSONAL_IDENTITY_SWEEP_GATE çalıştırılır; aktif kaynak, üretim bundle girdileri, aktif belge ve görsel metadata’sında yasak kişisel kimlik bulunursa build kapanışı reddedilir.</w:t>
            </w:r>
          </w:p>
        </w:tc>
      </w:tr>
      <w:tr>
        <w:tc>
          <w:tcPr>
            <w:tcW w:type="dxa" w:w="850"/>
            <w:vAlign w:val="center"/>
          </w:tcPr>
          <w:p>
            <w:pPr>
              <w:spacing w:after="0"/>
            </w:pPr>
            <w:r/>
            <w:r>
              <w:rPr>
                <w:rFonts w:ascii="Calibri" w:hAnsi="Calibri"/>
                <w:b w:val="0"/>
                <w:color w:val="333537"/>
                <w:sz w:val="14"/>
              </w:rPr>
              <w:t>PR-133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buildde PRODUCTION_CLEAN_DATA_GATE çalıştırılır; üretim başlangıç seed’i, demo kullanıcı/aile/kişisel kayıt ve production fixture sayısı sıfır olmadan build kapanışı reddedilir.</w:t>
            </w:r>
          </w:p>
        </w:tc>
      </w:tr>
      <w:tr>
        <w:tc>
          <w:tcPr>
            <w:tcW w:type="dxa" w:w="850"/>
            <w:vAlign w:val="center"/>
          </w:tcPr>
          <w:p>
            <w:pPr>
              <w:spacing w:after="0"/>
            </w:pPr>
            <w:r/>
            <w:r>
              <w:rPr>
                <w:rFonts w:ascii="Calibri" w:hAnsi="Calibri"/>
                <w:b w:val="0"/>
                <w:color w:val="333537"/>
                <w:sz w:val="14"/>
              </w:rPr>
              <w:t>PR-134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Final öncesi DEAD_CODE_DEAD_UI_GATE çalıştırılır; kullanıcıya görünen işlevsiz UI ve açıkça iptal edilmiş/erişilemeyen üretim kodu sıfır hedefidir ve tespit edilen kalıntı Final’den önce kaldırılır.</w:t>
            </w:r>
          </w:p>
        </w:tc>
      </w:tr>
      <w:tr>
        <w:tc>
          <w:tcPr>
            <w:tcW w:type="dxa" w:w="850"/>
            <w:vAlign w:val="center"/>
          </w:tcPr>
          <w:p>
            <w:pPr>
              <w:spacing w:after="0"/>
            </w:pPr>
            <w:r/>
            <w:r>
              <w:rPr>
                <w:rFonts w:ascii="Calibri" w:hAnsi="Calibri"/>
                <w:b w:val="0"/>
                <w:color w:val="333537"/>
                <w:sz w:val="14"/>
              </w:rPr>
              <w:t>PR-135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DOCUMENTATION_CLOSURE_GATE her buildde zorunludur; kararların etkilediği aktif belgeler, Master DOCX/PDF, Ana Build Defteri ve Artifact Index güncel değilse build kapanışı reddedilir.</w:t>
            </w:r>
          </w:p>
        </w:tc>
      </w:tr>
      <w:tr>
        <w:tc>
          <w:tcPr>
            <w:tcW w:type="dxa" w:w="850"/>
            <w:vAlign w:val="center"/>
          </w:tcPr>
          <w:p>
            <w:pPr>
              <w:spacing w:after="0"/>
            </w:pPr>
            <w:r/>
            <w:r>
              <w:rPr>
                <w:rFonts w:ascii="Calibri" w:hAnsi="Calibri"/>
                <w:b w:val="0"/>
                <w:color w:val="333537"/>
                <w:sz w:val="14"/>
              </w:rPr>
              <w:t>PR-136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ARTIFACT_INDEX_GATE her buildde zorunludur; güncel buildin bütün ana teslimleri ve proje bilgi/belge bağlantıları tek indeks üzerinden izlenebilir olmadan teslim tamamlanmış sayılamaz.</w:t>
            </w:r>
          </w:p>
        </w:tc>
      </w:tr>
      <w:tr>
        <w:tc>
          <w:tcPr>
            <w:tcW w:type="dxa" w:w="850"/>
            <w:vAlign w:val="center"/>
          </w:tcPr>
          <w:p>
            <w:pPr>
              <w:spacing w:after="0"/>
            </w:pPr>
            <w:r/>
            <w:r>
              <w:rPr>
                <w:rFonts w:ascii="Calibri" w:hAnsi="Calibri"/>
                <w:b w:val="0"/>
                <w:color w:val="333537"/>
                <w:sz w:val="14"/>
              </w:rPr>
              <w:t>PR-137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tc>
      </w:tr>
      <w:tr>
        <w:tc>
          <w:tcPr>
            <w:tcW w:type="dxa" w:w="850"/>
            <w:vAlign w:val="center"/>
          </w:tcPr>
          <w:p>
            <w:pPr>
              <w:spacing w:after="0"/>
            </w:pPr>
            <w:r/>
            <w:r>
              <w:rPr>
                <w:rFonts w:ascii="Calibri" w:hAnsi="Calibri"/>
                <w:b w:val="0"/>
                <w:color w:val="333537"/>
                <w:sz w:val="14"/>
              </w:rPr>
              <w:t>PR-138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PROJECT_PROVENANCE_GATE her sohbet ve build başında zorunludur; 20.07.2026 öncesi kaynağa dayanma girişimi fail-closed reddedilir ve yeni sohbet yalnız Ana Build Defteri ile 20 Temmuz sonrası yetkili kaynaklardan devam eder.</w:t>
            </w:r>
          </w:p>
        </w:tc>
      </w:tr>
      <w:tr>
        <w:tc>
          <w:tcPr>
            <w:tcW w:type="dxa" w:w="850"/>
            <w:vAlign w:val="center"/>
          </w:tcPr>
          <w:p>
            <w:pPr>
              <w:spacing w:after="0"/>
            </w:pPr>
            <w:r/>
            <w:r>
              <w:rPr>
                <w:rFonts w:ascii="Calibri" w:hAnsi="Calibri"/>
                <w:b w:val="0"/>
                <w:color w:val="333537"/>
                <w:sz w:val="14"/>
              </w:rPr>
              <w:t>PR-139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API_PRIORITY_GATE çekirdek projeyi banka/kurum entegrasyonları nedeniyle geciktiremez; P0 yaşamsal adapter/altyapı işleri önce tamamlanır, P2 kurum entegrasyonları kararlı üretim sonrası döneme ertelenir.</w:t>
            </w:r>
          </w:p>
        </w:tc>
      </w:tr>
      <w:tr>
        <w:tc>
          <w:tcPr>
            <w:tcW w:type="dxa" w:w="850"/>
            <w:vAlign w:val="center"/>
          </w:tcPr>
          <w:p>
            <w:pPr>
              <w:spacing w:after="0"/>
            </w:pPr>
            <w:r/>
            <w:r>
              <w:rPr>
                <w:rFonts w:ascii="Calibri" w:hAnsi="Calibri"/>
                <w:b w:val="0"/>
                <w:color w:val="333537"/>
                <w:sz w:val="14"/>
              </w:rPr>
              <w:t>PR-140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tc>
      </w:tr>
      <w:tr>
        <w:tc>
          <w:tcPr>
            <w:tcW w:type="dxa" w:w="850"/>
            <w:vAlign w:val="center"/>
          </w:tcPr>
          <w:p>
            <w:pPr>
              <w:spacing w:after="0"/>
            </w:pPr>
            <w:r/>
            <w:r>
              <w:rPr>
                <w:rFonts w:ascii="Calibri" w:hAnsi="Calibri"/>
                <w:b w:val="0"/>
                <w:color w:val="333537"/>
                <w:sz w:val="14"/>
              </w:rPr>
              <w:t>PR-141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Windows ilk kurulumunda normal uygulama ekranından önce Anadolu Parsı marka kimliğine uygun tek seferlik tanıtım ve ilk kullanım sihirbazı çalışır; kullanıcı isterse tanıtımı daha sonra Ayarlar üzerinden yeniden açabilir.</w:t>
            </w:r>
          </w:p>
        </w:tc>
      </w:tr>
      <w:tr>
        <w:tc>
          <w:tcPr>
            <w:tcW w:type="dxa" w:w="850"/>
            <w:vAlign w:val="center"/>
          </w:tcPr>
          <w:p>
            <w:pPr>
              <w:spacing w:after="0"/>
            </w:pPr>
            <w:r/>
            <w:r>
              <w:rPr>
                <w:rFonts w:ascii="Calibri" w:hAnsi="Calibri"/>
                <w:b w:val="0"/>
                <w:color w:val="333537"/>
                <w:sz w:val="14"/>
              </w:rPr>
              <w:t>PR-142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kullanım tanıtımı sesli Türkçe anlatım, görünür altyazı, sesi kapatma, anlatımı yeniden oynatma ve tanıtımı geçme seçeneklerini işlevsel olarak sunar; erişilebilirlik kullanıcı kontrolündedir.</w:t>
            </w:r>
          </w:p>
        </w:tc>
      </w:tr>
      <w:tr>
        <w:tc>
          <w:tcPr>
            <w:tcW w:type="dxa" w:w="850"/>
            <w:vAlign w:val="center"/>
          </w:tcPr>
          <w:p>
            <w:pPr>
              <w:spacing w:after="0"/>
            </w:pPr>
            <w:r/>
            <w:r>
              <w:rPr>
                <w:rFonts w:ascii="Calibri" w:hAnsi="Calibri"/>
                <w:b w:val="0"/>
                <w:color w:val="333537"/>
                <w:sz w:val="14"/>
              </w:rPr>
              <w:t>PR-143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Marka anlatım sesi sakin, güven veren ve Anadolu Parsı kimliğine uygun olmalı; kesintisiz veya zorlayıcı ses kullanılmaz, kullanıcı sesleri tamamen kapatabilir.</w:t>
            </w:r>
          </w:p>
        </w:tc>
      </w:tr>
      <w:tr>
        <w:tc>
          <w:tcPr>
            <w:tcW w:type="dxa" w:w="850"/>
            <w:vAlign w:val="center"/>
          </w:tcPr>
          <w:p>
            <w:pPr>
              <w:spacing w:after="0"/>
            </w:pPr>
            <w:r/>
            <w:r>
              <w:rPr>
                <w:rFonts w:ascii="Calibri" w:hAnsi="Calibri"/>
                <w:b w:val="0"/>
                <w:color w:val="333537"/>
                <w:sz w:val="14"/>
              </w:rPr>
              <w:t>PR-144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kurulum tamamlandığında kısa ve rahatsız etmeyen Anadolu Parsı marka sesi ile onaylı geçiş animasyonu çalışır; sonraki açılışlarda bu efekt zorunlu değildir.</w:t>
            </w:r>
          </w:p>
        </w:tc>
      </w:tr>
      <w:tr>
        <w:tc>
          <w:tcPr>
            <w:tcW w:type="dxa" w:w="850"/>
            <w:vAlign w:val="center"/>
          </w:tcPr>
          <w:p>
            <w:pPr>
              <w:spacing w:after="0"/>
            </w:pPr>
            <w:r/>
            <w:r>
              <w:rPr>
                <w:rFonts w:ascii="Calibri" w:hAnsi="Calibri"/>
                <w:b w:val="0"/>
                <w:color w:val="333537"/>
                <w:sz w:val="14"/>
              </w:rPr>
              <w:t>PR-145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kurulum akışı kesintiye dayanıklıdır; tanıtım, kimlik oluşturma, güvenlik, kurtarma ve tamamlama adımları açık durum modeliyle yönetilir ve yarım kurulum normal uygulamaya geçemez.</w:t>
            </w:r>
          </w:p>
        </w:tc>
      </w:tr>
      <w:tr>
        <w:tc>
          <w:tcPr>
            <w:tcW w:type="dxa" w:w="850"/>
            <w:vAlign w:val="center"/>
          </w:tcPr>
          <w:p>
            <w:pPr>
              <w:spacing w:after="0"/>
            </w:pPr>
            <w:r/>
            <w:r>
              <w:rPr>
                <w:rFonts w:ascii="Calibri" w:hAnsi="Calibri"/>
                <w:b w:val="0"/>
                <w:color w:val="333537"/>
                <w:sz w:val="14"/>
              </w:rPr>
              <w:t>PR-146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kullanıcı yerel güçlü parola ile oluşturulabilir; parola koşulları ve eşleşme durumu yazım sırasında canlı ve erişilebilir biçimde gösterilir.</w:t>
            </w:r>
          </w:p>
        </w:tc>
      </w:tr>
      <w:tr>
        <w:tc>
          <w:tcPr>
            <w:tcW w:type="dxa" w:w="850"/>
            <w:vAlign w:val="center"/>
          </w:tcPr>
          <w:p>
            <w:pPr>
              <w:spacing w:after="0"/>
            </w:pPr>
            <w:r/>
            <w:r>
              <w:rPr>
                <w:rFonts w:ascii="Calibri" w:hAnsi="Calibri"/>
                <w:b w:val="0"/>
                <w:color w:val="333537"/>
                <w:sz w:val="14"/>
              </w:rPr>
              <w:t>PR-147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 Google ve Microsoft haricî kimlik sağlayıcıları aynı sağlayıcı-bağımsız OIDC katmanında tasarlanır; hiçbir sağlayıcı uygulama içi yetkilendirme veya aile verisine otomatik erişim vermez.</w:t>
            </w:r>
          </w:p>
        </w:tc>
      </w:tr>
      <w:tr>
        <w:tc>
          <w:tcPr>
            <w:tcW w:type="dxa" w:w="850"/>
            <w:vAlign w:val="center"/>
          </w:tcPr>
          <w:p>
            <w:pPr>
              <w:spacing w:after="0"/>
            </w:pPr>
            <w:r/>
            <w:r>
              <w:rPr>
                <w:rFonts w:ascii="Calibri" w:hAnsi="Calibri"/>
                <w:b w:val="0"/>
                <w:color w:val="333537"/>
                <w:sz w:val="14"/>
              </w:rPr>
              <w:t>PR-148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Haricî OIDC akışları Authorization Code, PKCE, state ve nonce kontrolleri olmadan üretime açılamaz; tokenlar düz metin dosyada tutulamaz.</w:t>
            </w:r>
          </w:p>
        </w:tc>
      </w:tr>
      <w:tr>
        <w:tc>
          <w:tcPr>
            <w:tcW w:type="dxa" w:w="850"/>
            <w:vAlign w:val="center"/>
          </w:tcPr>
          <w:p>
            <w:pPr>
              <w:spacing w:after="0"/>
            </w:pPr>
            <w:r/>
            <w:r>
              <w:rPr>
                <w:rFonts w:ascii="Calibri" w:hAnsi="Calibri"/>
                <w:b w:val="0"/>
                <w:color w:val="333537"/>
                <w:sz w:val="14"/>
              </w:rPr>
              <w:t>PR-149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 Google veya Microsoft ile kimlik oluşturulsa bile çevrimdışı yerel erişim ve hesap kurtarma için Windows Hello, yerel parola veya eşdeğer cihaz-bağlı güvenli yöntem zorunlu olarak korunur.</w:t>
            </w:r>
          </w:p>
        </w:tc>
      </w:tr>
      <w:tr>
        <w:tc>
          <w:tcPr>
            <w:tcW w:type="dxa" w:w="850"/>
            <w:vAlign w:val="center"/>
          </w:tcPr>
          <w:p>
            <w:pPr>
              <w:spacing w:after="0"/>
            </w:pPr>
            <w:r/>
            <w:r>
              <w:rPr>
                <w:rFonts w:ascii="Calibri" w:hAnsi="Calibri"/>
                <w:b w:val="0"/>
                <w:color w:val="333537"/>
                <w:sz w:val="14"/>
              </w:rPr>
              <w:t>PR-150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Yapılandırılmamış veya üretim kabulü tamamlanmamış haricî kimlik sağlayıcısı işlevsiz aktif düğme olarak gösterilemez; özellik fail-closed ve görünmez/kapalı kalır.</w:t>
            </w:r>
          </w:p>
        </w:tc>
      </w:tr>
      <w:tr>
        <w:tc>
          <w:tcPr>
            <w:tcW w:type="dxa" w:w="850"/>
            <w:vAlign w:val="center"/>
          </w:tcPr>
          <w:p>
            <w:pPr>
              <w:spacing w:after="0"/>
            </w:pPr>
            <w:r/>
            <w:r>
              <w:rPr>
                <w:rFonts w:ascii="Calibri" w:hAnsi="Calibri"/>
                <w:b w:val="0"/>
                <w:color w:val="333537"/>
                <w:sz w:val="14"/>
              </w:rPr>
              <w:t>PR-151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oluşturulan kullanıcı aile yöneticisi olabilir ancak bu rol diğer yetişkinlerin özel sağlık, finans, belge veya konum verilerine otomatik erişim hakkı vermez.</w:t>
            </w:r>
          </w:p>
        </w:tc>
      </w:tr>
      <w:tr>
        <w:tc>
          <w:tcPr>
            <w:tcW w:type="dxa" w:w="850"/>
            <w:vAlign w:val="center"/>
          </w:tcPr>
          <w:p>
            <w:pPr>
              <w:spacing w:after="0"/>
            </w:pPr>
            <w:r/>
            <w:r>
              <w:rPr>
                <w:rFonts w:ascii="Calibri" w:hAnsi="Calibri"/>
                <w:b w:val="0"/>
                <w:color w:val="333537"/>
                <w:sz w:val="14"/>
              </w:rPr>
              <w:t>PR-152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kurulumun güvenlik adımında Windows Hello uygun olduğunda önerilir; TOTP, tek kullanımlık kurtarma kodları ve FIDO2/WebAuthn destekleri mevcut anayasal güvenlik sınırlarıyla korunur.</w:t>
            </w:r>
          </w:p>
        </w:tc>
      </w:tr>
      <w:tr>
        <w:tc>
          <w:tcPr>
            <w:tcW w:type="dxa" w:w="850"/>
            <w:vAlign w:val="center"/>
          </w:tcPr>
          <w:p>
            <w:pPr>
              <w:spacing w:after="0"/>
            </w:pPr>
            <w:r/>
            <w:r>
              <w:rPr>
                <w:rFonts w:ascii="Calibri" w:hAnsi="Calibri"/>
                <w:b w:val="0"/>
                <w:color w:val="333537"/>
                <w:sz w:val="14"/>
              </w:rPr>
              <w:t>PR-153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Kurtarma yöntemi oluşturulmadan ilk kimlik kurulumu güvenlik açısından tamamlanmış sayılmaz; kurtarma materyali kullanıcıya kontrollü biçimde sunulur ve production loglarına yazılmaz.</w:t>
            </w:r>
          </w:p>
        </w:tc>
      </w:tr>
      <w:tr>
        <w:tc>
          <w:tcPr>
            <w:tcW w:type="dxa" w:w="850"/>
            <w:vAlign w:val="center"/>
          </w:tcPr>
          <w:p>
            <w:pPr>
              <w:spacing w:after="0"/>
            </w:pPr>
            <w:r/>
            <w:r>
              <w:rPr>
                <w:rFonts w:ascii="Calibri" w:hAnsi="Calibri"/>
                <w:b w:val="0"/>
                <w:color w:val="333537"/>
                <w:sz w:val="14"/>
              </w:rPr>
              <w:t>PR-154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Uygulama açılışında kullanıcı kimliği doğrulanmadan aile veritabanı, arşiv içerikleri, sağlık, finans, soy ağacı, zaman tüneli veya diğer kişisel veri depoları açılamaz ve okunamaz.</w:t>
            </w:r>
          </w:p>
        </w:tc>
      </w:tr>
      <w:tr>
        <w:tc>
          <w:tcPr>
            <w:tcW w:type="dxa" w:w="850"/>
            <w:vAlign w:val="center"/>
          </w:tcPr>
          <w:p>
            <w:pPr>
              <w:spacing w:after="0"/>
            </w:pPr>
            <w:r/>
            <w:r>
              <w:rPr>
                <w:rFonts w:ascii="Calibri" w:hAnsi="Calibri"/>
                <w:b w:val="0"/>
                <w:color w:val="333537"/>
                <w:sz w:val="14"/>
              </w:rPr>
              <w:t>PR-155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Kalıcı kullanıcı verisi diskte AES-256-GCM veya eşdeğer güçlü doğrulanmış şifreleme altında tutulur; düz SQLite ana veritabanı uygulama kapalıyken kalıcı dosya olarak bırakılamaz.</w:t>
            </w:r>
          </w:p>
        </w:tc>
      </w:tr>
      <w:tr>
        <w:tc>
          <w:tcPr>
            <w:tcW w:type="dxa" w:w="850"/>
            <w:vAlign w:val="center"/>
          </w:tcPr>
          <w:p>
            <w:pPr>
              <w:spacing w:after="0"/>
            </w:pPr>
            <w:r/>
            <w:r>
              <w:rPr>
                <w:rFonts w:ascii="Calibri" w:hAnsi="Calibri"/>
                <w:b w:val="0"/>
                <w:color w:val="333537"/>
                <w:sz w:val="14"/>
              </w:rPr>
              <w:t>PR-156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veri anahtarının açılması hem kullanıcı sırrına/parolasına hem Windows safeStorage/DPAPI cihaz korumasına bağlanır; yalnız cihaz bağı veya yalnız parola tek başına kalıcı veri kasasını açmaya yetmez.</w:t>
            </w:r>
          </w:p>
        </w:tc>
      </w:tr>
      <w:tr>
        <w:tc>
          <w:tcPr>
            <w:tcW w:type="dxa" w:w="850"/>
            <w:vAlign w:val="center"/>
          </w:tcPr>
          <w:p>
            <w:pPr>
              <w:spacing w:after="0"/>
            </w:pPr>
            <w:r/>
            <w:r>
              <w:rPr>
                <w:rFonts w:ascii="Calibri" w:hAnsi="Calibri"/>
                <w:b w:val="0"/>
                <w:color w:val="333537"/>
                <w:sz w:val="14"/>
              </w:rPr>
              <w:t>PR-157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Kasa başlığı kişisel veri içeremez; yalnız KDF parametreleri, rastgele tuzlar, anonim anahtar yuvası kimlikleri ve cihaz-korumalı şifreli anahtar zarfları gibi zorunlu kriptografik metadata tutulabilir.</w:t>
            </w:r>
          </w:p>
        </w:tc>
      </w:tr>
      <w:tr>
        <w:tc>
          <w:tcPr>
            <w:tcW w:type="dxa" w:w="850"/>
            <w:vAlign w:val="center"/>
          </w:tcPr>
          <w:p>
            <w:pPr>
              <w:spacing w:after="0"/>
            </w:pPr>
            <w:r/>
            <w:r>
              <w:rPr>
                <w:rFonts w:ascii="Calibri" w:hAnsi="Calibri"/>
                <w:b w:val="0"/>
                <w:color w:val="333537"/>
                <w:sz w:val="14"/>
              </w:rPr>
              <w:t>PR-158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Başarısız parola veya kimlik doğrulama denemesinde şifresi çözülmüş kullanıcı verisi oturumu kalıcılaştırılamaz; geçici çalışma alanı derhal kapatılır ve silinir.</w:t>
            </w:r>
          </w:p>
        </w:tc>
      </w:tr>
      <w:tr>
        <w:tc>
          <w:tcPr>
            <w:tcW w:type="dxa" w:w="850"/>
            <w:vAlign w:val="center"/>
          </w:tcPr>
          <w:p>
            <w:pPr>
              <w:spacing w:after="0"/>
            </w:pPr>
            <w:r/>
            <w:r>
              <w:rPr>
                <w:rFonts w:ascii="Calibri" w:hAnsi="Calibri"/>
                <w:b w:val="0"/>
                <w:color w:val="333537"/>
                <w:sz w:val="14"/>
              </w:rPr>
              <w:t>PR-159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Başarılı oturum kapatma, oturum zaman aşımı veya uygulama kapanışında veri deposu önce güvenli biçimde kapatılır, WAL checkpoint uygulanır, kalıcı kasa yeniden şifrelenir ve geçici düz çalışma dosyaları silinir.</w:t>
            </w:r>
          </w:p>
        </w:tc>
      </w:tr>
      <w:tr>
        <w:tc>
          <w:tcPr>
            <w:tcW w:type="dxa" w:w="850"/>
            <w:vAlign w:val="center"/>
          </w:tcPr>
          <w:p>
            <w:pPr>
              <w:spacing w:after="0"/>
            </w:pPr>
            <w:r/>
            <w:r>
              <w:rPr>
                <w:rFonts w:ascii="Calibri" w:hAnsi="Calibri"/>
                <w:b w:val="0"/>
                <w:color w:val="333537"/>
                <w:sz w:val="14"/>
              </w:rPr>
              <w:t>PR-160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Geçici oturum verisi yalnız kimliği doğrulanmış aktif uygulama oturumu süresince oluşturulabilir; işletim sistemi izinleri mümkün olan en dar kullanıcı erişimiyle ayarlanır ve yol rastgele oturum kimliği taşır.</w:t>
            </w:r>
          </w:p>
        </w:tc>
      </w:tr>
      <w:tr>
        <w:tc>
          <w:tcPr>
            <w:tcW w:type="dxa" w:w="850"/>
            <w:vAlign w:val="center"/>
          </w:tcPr>
          <w:p>
            <w:pPr>
              <w:spacing w:after="0"/>
            </w:pPr>
            <w:r/>
            <w:r>
              <w:rPr>
                <w:rFonts w:ascii="Calibri" w:hAnsi="Calibri"/>
                <w:b w:val="0"/>
                <w:color w:val="333537"/>
                <w:sz w:val="14"/>
              </w:rPr>
              <w:t>PR-161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Aynı Windows kullanıcı hesabı altında çalışan yönetici yetkili zararlı yazılıma karşı mutlak dosya erişim engeli iddia edilemez; Bronze Final öncesi sayfa-seviyesi/in-use şifreleme veya eşdeğer koruma değerlendirilip kanıtlanmalıdır.</w:t>
            </w:r>
          </w:p>
        </w:tc>
      </w:tr>
      <w:tr>
        <w:tc>
          <w:tcPr>
            <w:tcW w:type="dxa" w:w="850"/>
            <w:vAlign w:val="center"/>
          </w:tcPr>
          <w:p>
            <w:pPr>
              <w:spacing w:after="0"/>
            </w:pPr>
            <w:r/>
            <w:r>
              <w:rPr>
                <w:rFonts w:ascii="Calibri" w:hAnsi="Calibri"/>
                <w:b w:val="0"/>
                <w:color w:val="333537"/>
                <w:sz w:val="14"/>
              </w:rPr>
              <w:t>PR-162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Arşiv belgesi şifresi çözülmüş geçici dosya olarak haricî uygulamaya shell/openPath ile verilemez; desteklenen türler yalnız uygulamanın güvenli önizleme yüzeyinde gösterilir ve geçici materyal mümkün olan en kısa sürede silinir.</w:t>
            </w:r>
          </w:p>
        </w:tc>
      </w:tr>
      <w:tr>
        <w:tc>
          <w:tcPr>
            <w:tcW w:type="dxa" w:w="850"/>
            <w:vAlign w:val="center"/>
          </w:tcPr>
          <w:p>
            <w:pPr>
              <w:spacing w:after="0"/>
            </w:pPr>
            <w:r/>
            <w:r>
              <w:rPr>
                <w:rFonts w:ascii="Calibri" w:hAnsi="Calibri"/>
                <w:b w:val="0"/>
                <w:color w:val="333537"/>
                <w:sz w:val="14"/>
              </w:rPr>
              <w:t>PR-163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Desteklenmeyen belge türü güvenlik sınırını aşmak yerine fail-closed reddedilir; haricî uygulama açma ancak gelecekte açık kullanıcı kararı ve ayrı güvenlik tasarımıyla eklenebilir.</w:t>
            </w:r>
          </w:p>
        </w:tc>
      </w:tr>
      <w:tr>
        <w:tc>
          <w:tcPr>
            <w:tcW w:type="dxa" w:w="850"/>
            <w:vAlign w:val="center"/>
          </w:tcPr>
          <w:p>
            <w:pPr>
              <w:spacing w:after="0"/>
            </w:pPr>
            <w:r/>
            <w:r>
              <w:rPr>
                <w:rFonts w:ascii="Calibri" w:hAnsi="Calibri"/>
                <w:b w:val="0"/>
                <w:color w:val="333537"/>
                <w:sz w:val="14"/>
              </w:rPr>
              <w:t>PR-164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Log, cache, diagnostic, export, migration backup, crash/evidence ve diğer yan artifactlar kişisel veya hassas içerik taşımayacak şekilde sanitize edilmeli veya şifrelenmelidir; bu kapanış Bronze Final kapısıdır.</w:t>
            </w:r>
          </w:p>
        </w:tc>
      </w:tr>
      <w:tr>
        <w:tc>
          <w:tcPr>
            <w:tcW w:type="dxa" w:w="850"/>
            <w:vAlign w:val="center"/>
          </w:tcPr>
          <w:p>
            <w:pPr>
              <w:spacing w:after="0"/>
            </w:pPr>
            <w:r/>
            <w:r>
              <w:rPr>
                <w:rFonts w:ascii="Calibri" w:hAnsi="Calibri"/>
                <w:b w:val="0"/>
                <w:color w:val="333537"/>
                <w:sz w:val="14"/>
              </w:rPr>
              <w:t>PR-165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Uygulama öncesi oluşturulan runtime/log dosyaları yalnız kişisel olmayan operasyon metadata içerir; kimlik doğrulama öncesi hiçbir kişisel veri log, cache veya diagnostic alana yazılamaz.</w:t>
            </w:r>
          </w:p>
        </w:tc>
      </w:tr>
      <w:tr>
        <w:tc>
          <w:tcPr>
            <w:tcW w:type="dxa" w:w="850"/>
            <w:vAlign w:val="center"/>
          </w:tcPr>
          <w:p>
            <w:pPr>
              <w:spacing w:after="0"/>
            </w:pPr>
            <w:r/>
            <w:r>
              <w:rPr>
                <w:rFonts w:ascii="Calibri" w:hAnsi="Calibri"/>
                <w:b w:val="0"/>
                <w:color w:val="333537"/>
                <w:sz w:val="14"/>
              </w:rPr>
              <w:t>PR-166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Parola değiştirildiğinde kullanıcı veri kasasının anahtar sarma bilgisi de atomik olarak yeni parolaya geçirilir; eski parola kasayı açmaya devam edemez.</w:t>
            </w:r>
          </w:p>
        </w:tc>
      </w:tr>
      <w:tr>
        <w:tc>
          <w:tcPr>
            <w:tcW w:type="dxa" w:w="850"/>
            <w:vAlign w:val="center"/>
          </w:tcPr>
          <w:p>
            <w:pPr>
              <w:spacing w:after="0"/>
            </w:pPr>
            <w:r/>
            <w:r>
              <w:rPr>
                <w:rFonts w:ascii="Calibri" w:hAnsi="Calibri"/>
                <w:b w:val="0"/>
                <w:color w:val="333537"/>
                <w:sz w:val="14"/>
              </w:rPr>
              <w:t>PR-167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Haricî kimlik sağlayıcıları için gerçek üretim PASS iddiası sağlayıcı uygulama kaydı, Client ID/redirect URI, gerçek Windows oturumu, token kasası, iptal/çıkış ve hata senaryoları doğrulanmadan yapılamaz; aksi durum NOT_RUN/PENDING olarak raporlanır.</w:t>
            </w:r>
          </w:p>
        </w:tc>
      </w:tr>
      <w:tr>
        <w:tc>
          <w:tcPr>
            <w:tcW w:type="dxa" w:w="850"/>
            <w:vAlign w:val="center"/>
          </w:tcPr>
          <w:p>
            <w:pPr>
              <w:spacing w:after="0"/>
            </w:pPr>
            <w:r/>
            <w:r>
              <w:rPr>
                <w:rFonts w:ascii="Calibri" w:hAnsi="Calibri"/>
                <w:b w:val="0"/>
                <w:color w:val="333537"/>
                <w:sz w:val="14"/>
              </w:rPr>
              <w:t>PR-168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Kalıcı proje kütüphanesi hiyerarşisi /Panthera pardus tulliana/Anadolu Parsı Aile Yaşam Merkezi şeklindedir; bu uygulamaya ait yeni build, kaynak, belge, görsel, hash ve teslim kanıtları yalnız bu dal altında tutulur.</w:t>
            </w:r>
          </w:p>
        </w:tc>
      </w:tr>
      <w:tr>
        <w:tc>
          <w:tcPr>
            <w:tcW w:type="dxa" w:w="850"/>
            <w:vAlign w:val="center"/>
          </w:tcPr>
          <w:p>
            <w:pPr>
              <w:spacing w:after="0"/>
            </w:pPr>
            <w:r/>
            <w:r>
              <w:rPr>
                <w:rFonts w:ascii="Calibri" w:hAnsi="Calibri"/>
                <w:b w:val="0"/>
                <w:color w:val="333537"/>
                <w:sz w:val="14"/>
              </w:rPr>
              <w:t>PR-169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Üst marka altındaki başka/eski proje dosyaları yalnız ad benzerliği nedeniyle Anadolu Parsı Aile Yaşam Merkezi klasörüne taşınamaz veya bağlam kaynağı sayılamaz; proje provenance sınırı fail-closed uygulanır.</w:t>
            </w:r>
          </w:p>
        </w:tc>
      </w:tr>
      <w:tr>
        <w:tc>
          <w:tcPr>
            <w:tcW w:type="dxa" w:w="850"/>
            <w:vAlign w:val="center"/>
          </w:tcPr>
          <w:p>
            <w:pPr>
              <w:spacing w:after="0"/>
            </w:pPr>
            <w:r/>
            <w:r>
              <w:rPr>
                <w:rFonts w:ascii="Calibri" w:hAnsi="Calibri"/>
                <w:b w:val="0"/>
                <w:color w:val="333537"/>
                <w:sz w:val="14"/>
              </w:rPr>
              <w:t>PR-170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tc>
      </w:tr>
      <w:tr>
        <w:tc>
          <w:tcPr>
            <w:tcW w:type="dxa" w:w="850"/>
            <w:vAlign w:val="center"/>
          </w:tcPr>
          <w:p>
            <w:pPr>
              <w:spacing w:after="0"/>
            </w:pPr>
            <w:r/>
            <w:r>
              <w:rPr>
                <w:rFonts w:ascii="Calibri" w:hAnsi="Calibri"/>
                <w:b w:val="0"/>
                <w:color w:val="333537"/>
                <w:sz w:val="14"/>
              </w:rPr>
              <w:t>PR-171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tc>
      </w:tr>
      <w:tr>
        <w:tc>
          <w:tcPr>
            <w:tcW w:type="dxa" w:w="850"/>
            <w:vAlign w:val="center"/>
          </w:tcPr>
          <w:p>
            <w:pPr>
              <w:spacing w:after="0"/>
            </w:pPr>
            <w:r/>
            <w:r>
              <w:rPr>
                <w:rFonts w:ascii="Calibri" w:hAnsi="Calibri"/>
                <w:b w:val="0"/>
                <w:color w:val="333537"/>
                <w:sz w:val="14"/>
              </w:rPr>
              <w:t>PR-172</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PR-172 yalnız platform tarafından sağlanan gerçek sohbet bağlam kapasitesi yüzde 90 veya üzerindeyken HARD_STOP üretir. Tahmin, geçmiş build tahmini veya kullanılamayan platform sayacı HARD_STOP ya da zorunlu handoff sayılmaz. Gerçek kullanım yüzde 90 altındaysa zorunlu devir üretilmez. Gerçek HARD_STOP durumunda aynı sohbette yeni build başlatılmaz; aynı yanıt içinde tam kopyalanabilir devir metni gösterilir ve NEW_CHAT_HANDOFF_BUILDxxx.md oluşturulur.</w:t>
            </w:r>
          </w:p>
        </w:tc>
      </w:tr>
      <w:tr>
        <w:tc>
          <w:tcPr>
            <w:tcW w:type="dxa" w:w="850"/>
            <w:vAlign w:val="center"/>
          </w:tcPr>
          <w:p>
            <w:pPr>
              <w:spacing w:after="0"/>
            </w:pPr>
            <w:r/>
            <w:r>
              <w:rPr>
                <w:rFonts w:ascii="Calibri" w:hAnsi="Calibri"/>
                <w:b w:val="0"/>
                <w:color w:val="333537"/>
                <w:sz w:val="14"/>
              </w:rPr>
              <w:t>PR-173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Kullanıcıya görünen aktif sürüm ve teslim adları yalnız “Bronze|Silver|Gold gg.aa.yyyy.aylık-sıra” biçimindedir. RC, RC2, MVP ve küresel Build numarası yalnız tarihsel kanıtlarda kalabilir; aktif UI, paket, belge ve teslim yüzeyinde kullanılamaz.</w:t>
            </w:r>
          </w:p>
        </w:tc>
      </w:tr>
      <w:tr>
        <w:tc>
          <w:tcPr>
            <w:tcW w:type="dxa" w:w="850"/>
            <w:vAlign w:val="center"/>
          </w:tcPr>
          <w:p>
            <w:pPr>
              <w:spacing w:after="0"/>
            </w:pPr>
            <w:r/>
            <w:r>
              <w:rPr>
                <w:rFonts w:ascii="Calibri" w:hAnsi="Calibri"/>
                <w:b w:val="0"/>
                <w:color w:val="333537"/>
                <w:sz w:val="14"/>
              </w:rPr>
              <w:t>PR-174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Aylık derleme sayacı her takvim ayında yeniden başlar; ancak yeni ayın veya günün ilk geliştirmesi keyfî olarak 1 sayılmaz. Aynı ay içinde daha önce tamamlanmış gerçek derlemeler sayılır ve sıradaki sayı bu tarihsel sayının bir fazlasıdır.</w:t>
            </w:r>
          </w:p>
        </w:tc>
      </w:tr>
      <w:tr>
        <w:tc>
          <w:tcPr>
            <w:tcW w:type="dxa" w:w="850"/>
            <w:vAlign w:val="center"/>
          </w:tcPr>
          <w:p>
            <w:pPr>
              <w:spacing w:after="0"/>
            </w:pPr>
            <w:r/>
            <w:r>
              <w:rPr>
                <w:rFonts w:ascii="Calibri" w:hAnsi="Calibri"/>
                <w:b w:val="0"/>
                <w:color w:val="333537"/>
                <w:sz w:val="14"/>
              </w:rPr>
              <w:t>PR-175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04.08.2026 tarihine kadar kullanıcı tarafından kabul edilen tamamlama sözleşmesi, finans/bankacılık, dağıtık Windows platformu, Apple companion istemcileri, aile iletişimi ve toplantıları, uçtan uca şifreleme, çeviri, OCR, Platform Policy Kernel, hane operasyonları, afet, çocuk/eğitim, bakım/ileri yaş, ev-araç-eşya-evcil hayvan, mahremiyet, AI, aile hafızası, seyahat, Matter/akıllı ev, doğrulanabilir yetki kartları ve imzalı eklenti sistemi bağlayıcı Bronze kapsamıdır. Bu alanlar öneri olarak geri düşürülemez.</w:t>
            </w:r>
          </w:p>
        </w:tc>
      </w:tr>
      <w:tr>
        <w:tc>
          <w:tcPr>
            <w:tcW w:type="dxa" w:w="850"/>
            <w:vAlign w:val="center"/>
          </w:tcPr>
          <w:p>
            <w:pPr>
              <w:spacing w:after="0"/>
            </w:pPr>
            <w:r/>
            <w:r>
              <w:rPr>
                <w:rFonts w:ascii="Calibri" w:hAnsi="Calibri"/>
                <w:b w:val="0"/>
                <w:color w:val="333537"/>
                <w:sz w:val="14"/>
              </w:rPr>
              <w:t>PR-176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Windows Desktop, Windows Core Service, cluster node/witness, macOS, iPhone, iPad, Apple Watch, Vision Pro, OCR/AI/çeviri workerları, iletişim ve entegrasyon servisleri aynı Platform Policy Kernel kararını ve security/privacy/retention/consent/audit yükümlülüklerini uygular; yerel bypass veya yalnız rol kontrolü yeni kodda yasaktır.</w:t>
            </w:r>
          </w:p>
        </w:tc>
      </w:tr>
      <w:tr>
        <w:tc>
          <w:tcPr>
            <w:tcW w:type="dxa" w:w="850"/>
            <w:vAlign w:val="center"/>
          </w:tcPr>
          <w:p>
            <w:pPr>
              <w:spacing w:after="0"/>
            </w:pPr>
            <w:r/>
            <w:r>
              <w:rPr>
                <w:rFonts w:ascii="Calibri" w:hAnsi="Calibri"/>
                <w:b w:val="0"/>
                <w:color w:val="333537"/>
                <w:sz w:val="14"/>
              </w:rPr>
              <w:t>PR-177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Tek aktif yönetişim kaynağı config/canonical-rule-registry.json ve config/active-governance-ledger.json ikilisidir. Eski Ana Build Defteri, RC/MVP/Build belgeleri ve eski kural setleri tarihsel kanıttır; aktif kararı veya sürümü geçersiz kılamaz.</w:t>
            </w:r>
          </w:p>
        </w:tc>
      </w:tr>
      <w:tr>
        <w:tc>
          <w:tcPr>
            <w:tcW w:type="dxa" w:w="850"/>
            <w:vAlign w:val="center"/>
          </w:tcPr>
          <w:p>
            <w:pPr>
              <w:spacing w:after="0"/>
            </w:pPr>
            <w:r/>
            <w:r>
              <w:rPr>
                <w:rFonts w:ascii="Calibri" w:hAnsi="Calibri"/>
                <w:b w:val="0"/>
                <w:color w:val="333537"/>
                <w:sz w:val="14"/>
              </w:rPr>
              <w:t>PR-178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geliştirme oturumu ve her aktif sürüm değişikliği, güncel kanonik kural SHA-256 özeti açıkça doğrulanmadan ve GOVERNED_PREFLIGHT PASS olmadan başlayamaz. Kapı başarısızsa işlem fail-closed durur.</w:t>
            </w:r>
          </w:p>
        </w:tc>
      </w:tr>
      <w:tr>
        <w:tc>
          <w:tcPr>
            <w:tcW w:type="dxa" w:w="850"/>
            <w:vAlign w:val="center"/>
          </w:tcPr>
          <w:p>
            <w:pPr>
              <w:spacing w:after="0"/>
            </w:pPr>
            <w:r/>
            <w:r>
              <w:rPr>
                <w:rFonts w:ascii="Calibri" w:hAnsi="Calibri"/>
                <w:b w:val="0"/>
                <w:color w:val="333537"/>
                <w:sz w:val="14"/>
              </w:rPr>
              <w:t>PR-179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geliştirme teslimi GOVERNED_POSTFLIGHT çalıştırılmadan tamamlanamaz. Postflight; kural sicili, karar defteri, sürüm, kapsam gerçekliği, policy, kaynak bütünlüğü, belge envanteri, rapor alanları, kalıcı Library hedefi ve yapılmayan testlerin dürüst durumunu denetler.</w:t>
            </w:r>
          </w:p>
        </w:tc>
      </w:tr>
      <w:tr>
        <w:tc>
          <w:tcPr>
            <w:tcW w:type="dxa" w:w="850"/>
            <w:vAlign w:val="center"/>
          </w:tcPr>
          <w:p>
            <w:pPr>
              <w:spacing w:after="0"/>
            </w:pPr>
            <w:r/>
            <w:r>
              <w:rPr>
                <w:rFonts w:ascii="Calibri" w:hAnsi="Calibri"/>
                <w:b w:val="0"/>
                <w:color w:val="333537"/>
                <w:sz w:val="14"/>
              </w:rPr>
              <w:t>PR-180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Yeni kaynak, belge, görsel, hash, manifest, doğrulama ve teslim kanıtları kalıcı olarak yalnız /Panthera pardus tulliana/Anadolu Parsı Aile Yaşam Merkezi/&lt;Görünür Sürüm&gt;/ dalında tutulur. Library yükleme kanıtı olmadan teslim COMPLETED sayılamaz.</w:t>
            </w:r>
          </w:p>
        </w:tc>
      </w:tr>
      <w:tr>
        <w:tc>
          <w:tcPr>
            <w:tcW w:type="dxa" w:w="850"/>
            <w:vAlign w:val="center"/>
          </w:tcPr>
          <w:p>
            <w:pPr>
              <w:spacing w:after="0"/>
            </w:pPr>
            <w:r/>
            <w:r>
              <w:rPr>
                <w:rFonts w:ascii="Calibri" w:hAnsi="Calibri"/>
                <w:b w:val="0"/>
                <w:color w:val="333537"/>
                <w:sz w:val="14"/>
              </w:rPr>
              <w:t>PR-181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/mnt/data yalnız geçici çalışma alanıdır. Kullanıcının Windows yerel diski, haricî diski veya OneDrive hedeflerine gerçek erişim ve yazma kanıtı yoksa bu hedeflere kayıt yapıldığı söylenemez; durum NOT_RUN/UNAVAILABLE olarak raporlanır.</w:t>
            </w:r>
          </w:p>
        </w:tc>
      </w:tr>
      <w:tr>
        <w:tc>
          <w:tcPr>
            <w:tcW w:type="dxa" w:w="850"/>
            <w:vAlign w:val="center"/>
          </w:tcPr>
          <w:p>
            <w:pPr>
              <w:spacing w:after="0"/>
            </w:pPr>
            <w:r/>
            <w:r>
              <w:rPr>
                <w:rFonts w:ascii="Calibri" w:hAnsi="Calibri"/>
                <w:b w:val="0"/>
                <w:color w:val="333537"/>
                <w:sz w:val="14"/>
              </w:rPr>
              <w:t>PR-182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sürümde kaynak ağacındaki bütün dosyalar ve bütün belge/config/kanıt dosyaları hash, boyut, sınıf, aktif/tarihsel durumu ve göreli yolu ile eksiksiz indekslenir. Kullanıcıya tam belge dizini ile tam artifact index bağlantısı verilir; seçilmiş birkaç belgeyi “tüm belgeler” diye sunmak yasaktır.</w:t>
            </w:r>
          </w:p>
        </w:tc>
      </w:tr>
      <w:tr>
        <w:tc>
          <w:tcPr>
            <w:tcW w:type="dxa" w:w="850"/>
            <w:vAlign w:val="center"/>
          </w:tcPr>
          <w:p>
            <w:pPr>
              <w:spacing w:after="0"/>
            </w:pPr>
            <w:r/>
            <w:r>
              <w:rPr>
                <w:rFonts w:ascii="Calibri" w:hAnsi="Calibri"/>
                <w:b w:val="0"/>
                <w:color w:val="333537"/>
                <w:sz w:val="14"/>
              </w:rPr>
              <w:t>PR-183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geliştirme sonu bildirimi en az şu alanları taşır: görünür sürüm; yapılan iş; tamamlanan gereksinim ve karar kimlikleri; değişen kaynak alanları; gerçek PASS/FAIL/NOT_RUN/BLOCKED sonuçları; açık hata ve riskler; ağırlıklı Bronze tamamlanma ve kalan yüzdesi; tahmini Bronze bitişi; tahmini Silver ve Gold geçiş tarih aralıkları; tahmin güveni; sohbet kapasitesi platform actual veya UNAVAILABLE; devir promptu durumu; kaynak ZIP/manifest/SHA; kalıcı Library yolu ve yükleme durumu; bütün belge indeksi; sıradaki tek resmî iş; zorunlu doğruluk cümlesi.</w:t>
            </w:r>
          </w:p>
        </w:tc>
      </w:tr>
      <w:tr>
        <w:tc>
          <w:tcPr>
            <w:tcW w:type="dxa" w:w="850"/>
            <w:vAlign w:val="center"/>
          </w:tcPr>
          <w:p>
            <w:pPr>
              <w:spacing w:after="0"/>
            </w:pPr>
            <w:r/>
            <w:r>
              <w:rPr>
                <w:rFonts w:ascii="Calibri" w:hAnsi="Calibri"/>
                <w:b w:val="0"/>
                <w:color w:val="333537"/>
                <w:sz w:val="14"/>
              </w:rPr>
              <w:t>PR-184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Sohbet kapasitesi için yalnız platformun sağladığı gerçek kullanılan yüzde kabul edilir. Gerçek yüzde mevcut değilse UNAVAILABLE yazılır; tahmin uydurulmaz. Gerçek kullanım yüzde 85-89 ise uyarı, yüzde 90 veya üzerindeyse HARD_STOP uygulanır ve aynı sohbette yeni sürüm başlatılmaz.</w:t>
            </w:r>
          </w:p>
        </w:tc>
      </w:tr>
      <w:tr>
        <w:tc>
          <w:tcPr>
            <w:tcW w:type="dxa" w:w="850"/>
            <w:vAlign w:val="center"/>
          </w:tcPr>
          <w:p>
            <w:pPr>
              <w:spacing w:after="0"/>
            </w:pPr>
            <w:r/>
            <w:r>
              <w:rPr>
                <w:rFonts w:ascii="Calibri" w:hAnsi="Calibri"/>
                <w:b w:val="0"/>
                <w:color w:val="333537"/>
                <w:sz w:val="14"/>
              </w:rPr>
              <w:t>PR-185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Gerçek sohbet kapasitesi HARD_STOP düzeyine ulaştığında aynı yanıtta eksiksiz kopyalanabilir yeni sohbet devir promptu ve NEW_CHAT_HANDOFF_&lt;görünür-sürüm&gt;.md üretilir. Eşik altında zorunlu devir yapılmaz; her teslimde yalnız devir durumunun GEREKMİYOR/HAZIR/UNAVAILABLE olduğu belirtilir.</w:t>
            </w:r>
          </w:p>
        </w:tc>
      </w:tr>
      <w:tr>
        <w:tc>
          <w:tcPr>
            <w:tcW w:type="dxa" w:w="850"/>
            <w:vAlign w:val="center"/>
          </w:tcPr>
          <w:p>
            <w:pPr>
              <w:spacing w:after="0"/>
            </w:pPr>
            <w:r/>
            <w:r>
              <w:rPr>
                <w:rFonts w:ascii="Calibri" w:hAnsi="Calibri"/>
                <w:b w:val="0"/>
                <w:color w:val="333537"/>
                <w:sz w:val="14"/>
              </w:rPr>
              <w:t>PR-186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Kullanıcının her bağlayıcı kararı aynı sürüm içinde benzersiz DEC kimliği, tarih/saat, kaynak/provenance, karar özeti, etkilediği kurallar, belgeler, kod alanları ve doğrulama kanıtıyla config/user-decision-ledger.json ve docs/decisions altında kaydedilir.</w:t>
            </w:r>
          </w:p>
        </w:tc>
      </w:tr>
      <w:tr>
        <w:tc>
          <w:tcPr>
            <w:tcW w:type="dxa" w:w="850"/>
            <w:vAlign w:val="center"/>
          </w:tcPr>
          <w:p>
            <w:pPr>
              <w:spacing w:after="0"/>
            </w:pPr>
            <w:r/>
            <w:r>
              <w:rPr>
                <w:rFonts w:ascii="Calibri" w:hAnsi="Calibri"/>
                <w:b w:val="0"/>
                <w:color w:val="333537"/>
                <w:sz w:val="14"/>
              </w:rPr>
              <w:t>PR-187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Kod, karar, kural, kapsam sicili, aktif belge seti, manifest, sürüm, test kanıtı, durum metni ve teslim raporu arasında bilinen drift varken sürüm tamamlanamaz. Drift kapısı sıfır bilinen çelişki hedefiyle fail-closed çalışır.</w:t>
            </w:r>
          </w:p>
        </w:tc>
      </w:tr>
      <w:tr>
        <w:tc>
          <w:tcPr>
            <w:tcW w:type="dxa" w:w="850"/>
            <w:vAlign w:val="center"/>
          </w:tcPr>
          <w:p>
            <w:pPr>
              <w:spacing w:after="0"/>
            </w:pPr>
            <w:r/>
            <w:r>
              <w:rPr>
                <w:rFonts w:ascii="Calibri" w:hAnsi="Calibri"/>
                <w:b w:val="0"/>
                <w:color w:val="333537"/>
                <w:sz w:val="14"/>
              </w:rPr>
              <w:t>PR-188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Bütün dosyalar ACTIVE_AUTHORITY, ACTIVE_REFERENCE, SOURCE_CODE, TEST_OR_GATE, EVIDENCE, HISTORICAL veya GENERATED sınıflarından biriyle işaretlenir. Sınıflandırılmamış dosya ve envanter dışı belge teslim kapanışını engeller.</w:t>
            </w:r>
          </w:p>
        </w:tc>
      </w:tr>
      <w:tr>
        <w:tc>
          <w:tcPr>
            <w:tcW w:type="dxa" w:w="850"/>
            <w:vAlign w:val="center"/>
          </w:tcPr>
          <w:p>
            <w:pPr>
              <w:spacing w:after="0"/>
            </w:pPr>
            <w:r/>
            <w:r>
              <w:rPr>
                <w:rFonts w:ascii="Calibri" w:hAnsi="Calibri"/>
                <w:b w:val="0"/>
                <w:color w:val="333537"/>
                <w:sz w:val="14"/>
              </w:rPr>
              <w:t>PR-189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Hassas veri okuma/yazma işlemleri geçerli policy decision ve doğrulanmış policy receipt olmadan repository/API/IPC transactionına giremez. Politika servisi, imza anahtarı, cihaz kimliği veya sürüm uyumu yoksa işlem varsayılan reddedilir.</w:t>
            </w:r>
          </w:p>
        </w:tc>
      </w:tr>
      <w:tr>
        <w:tc>
          <w:tcPr>
            <w:tcW w:type="dxa" w:w="850"/>
            <w:vAlign w:val="center"/>
          </w:tcPr>
          <w:p>
            <w:pPr>
              <w:spacing w:after="0"/>
            </w:pPr>
            <w:r/>
            <w:r>
              <w:rPr>
                <w:rFonts w:ascii="Calibri" w:hAnsi="Calibri"/>
                <w:b w:val="0"/>
                <w:color w:val="333537"/>
                <w:sz w:val="14"/>
              </w:rPr>
              <w:t>PR-190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Canlı banka, açık bankacılık, OIDC, OneDrive, harita, AI, APNs, TURN/SFU veya diğer haricî entegrasyonlar yalnız adapter ve capability sınırından çalışır. Sözleşme, yetkili hesap, kimlik bilgisi ve gerçek kabul testi yoksa canlı entegrasyon PASS sayılamaz.</w:t>
            </w:r>
          </w:p>
        </w:tc>
      </w:tr>
      <w:tr>
        <w:tc>
          <w:tcPr>
            <w:tcW w:type="dxa" w:w="850"/>
            <w:vAlign w:val="center"/>
          </w:tcPr>
          <w:p>
            <w:pPr>
              <w:spacing w:after="0"/>
            </w:pPr>
            <w:r/>
            <w:r>
              <w:rPr>
                <w:rFonts w:ascii="Calibri" w:hAnsi="Calibri"/>
                <w:b w:val="0"/>
                <w:color w:val="333537"/>
                <w:sz w:val="14"/>
              </w:rPr>
              <w:t>PR-191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Mesaj ve dosya içerikleri uçtan uca şifreli saklanır; audit içerikten ayrıdır. Ses, görüntü, transkript ve çeviri kaydı varsayılan kapalıdır ve bütün katılımcıların ayrı, görünür ve geri çekilebilir onayı olmadan başlatılamaz.</w:t>
            </w:r>
          </w:p>
        </w:tc>
      </w:tr>
      <w:tr>
        <w:tc>
          <w:tcPr>
            <w:tcW w:type="dxa" w:w="850"/>
            <w:vAlign w:val="center"/>
          </w:tcPr>
          <w:p>
            <w:pPr>
              <w:spacing w:after="0"/>
            </w:pPr>
            <w:r/>
            <w:r>
              <w:rPr>
                <w:rFonts w:ascii="Calibri" w:hAnsi="Calibri"/>
                <w:b w:val="0"/>
                <w:color w:val="333537"/>
                <w:sz w:val="14"/>
              </w:rPr>
              <w:t>PR-192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Çoklu Windows cihazlarında aynı SQLite dosyası paylaşılmaz. Her node yerel şifreli projection kullanır; otomatik failover yalnız güvenli quorum/witness, fencing ve çoğunluk onayı ile mümkündür. Replica bağımsız yedek değildir.</w:t>
            </w:r>
          </w:p>
        </w:tc>
      </w:tr>
      <w:tr>
        <w:tc>
          <w:tcPr>
            <w:tcW w:type="dxa" w:w="850"/>
            <w:vAlign w:val="center"/>
          </w:tcPr>
          <w:p>
            <w:pPr>
              <w:spacing w:after="0"/>
            </w:pPr>
            <w:r/>
            <w:r>
              <w:rPr>
                <w:rFonts w:ascii="Calibri" w:hAnsi="Calibri"/>
                <w:b w:val="0"/>
                <w:color w:val="333537"/>
                <w:sz w:val="14"/>
              </w:rPr>
              <w:t>PR-193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Bronze’da kabul edilmiş bütün özellik, güvenlik, entegrasyon sınırı, erişilebilirlik, UI ve altyapı kodlanıp tamamlanmadan Silver yasaktır. Silver yalnız tam test/UAT/güvenlik/Windows kurulum doğrulaması ve kapsam değiştirmeyen düzeltmedir. Gold yalnız bütün Silver kapıları PASS, üretim operasyonları hazır ve ürün sahibi açıkça onayladığında mümkündür.</w:t>
            </w:r>
          </w:p>
        </w:tc>
      </w:tr>
      <w:tr>
        <w:tc>
          <w:tcPr>
            <w:tcW w:type="dxa" w:w="850"/>
            <w:vAlign w:val="center"/>
          </w:tcPr>
          <w:p>
            <w:pPr>
              <w:spacing w:after="0"/>
            </w:pPr>
            <w:r/>
            <w:r>
              <w:rPr>
                <w:rFonts w:ascii="Calibri" w:hAnsi="Calibri"/>
                <w:b w:val="0"/>
                <w:color w:val="333537"/>
                <w:sz w:val="14"/>
              </w:rPr>
              <w:t>PR-194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İlerleme yüzdesi ve bitiş tarihleri yalnız ağırlıklı kapsam ve kanıta göre hesaplanır; pazarlama, iyimserlik veya build sayısı kullanılmaz. Belirsizlik ve güven düzeyi açıkça yazılır; çalıştırılmayan kontrol PASS sayılamaz.</w:t>
            </w:r>
          </w:p>
        </w:tc>
      </w:tr>
      <w:tr>
        <w:tc>
          <w:tcPr>
            <w:tcW w:type="dxa" w:w="850"/>
            <w:vAlign w:val="center"/>
          </w:tcPr>
          <w:p>
            <w:pPr>
              <w:spacing w:after="0"/>
            </w:pPr>
            <w:r/>
            <w:r>
              <w:rPr>
                <w:rFonts w:ascii="Calibri" w:hAnsi="Calibri"/>
                <w:b w:val="0"/>
                <w:color w:val="333537"/>
                <w:sz w:val="14"/>
              </w:rPr>
              <w:t>PR-195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teslimin sonunda sohbetin devam edebilirliği kontrol edilir. Gerçek kapasite metriği yoksa bu açıkça belirtilir; kullanıcıdan aynı kuralları yeniden anlatması istenmez ve gerçek HARD_STOP oluştuğunda devir promptu otomatik hazırlanır.</w:t>
            </w:r>
          </w:p>
        </w:tc>
      </w:tr>
      <w:tr>
        <w:tc>
          <w:tcPr>
            <w:tcW w:type="dxa" w:w="850"/>
            <w:vAlign w:val="center"/>
          </w:tcPr>
          <w:p>
            <w:pPr>
              <w:spacing w:after="0"/>
            </w:pPr>
            <w:r/>
            <w:r>
              <w:rPr>
                <w:rFonts w:ascii="Calibri" w:hAnsi="Calibri"/>
                <w:b w:val="0"/>
                <w:color w:val="333537"/>
                <w:sz w:val="14"/>
              </w:rPr>
              <w:t>PR-196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Kullanıcıya sunulan teslim yanıtında o sürümde üretilen veya değiştirilen belgelerin tamamı listelenir; ayrıca tüm proje belgelerini içeren eksiksiz belge dizinine bağlantı verilir. Belge listesi atlanamaz veya “başlıcaları” ile sınırlandırılamaz.</w:t>
            </w:r>
          </w:p>
        </w:tc>
      </w:tr>
      <w:tr>
        <w:tc>
          <w:tcPr>
            <w:tcW w:type="dxa" w:w="850"/>
            <w:vAlign w:val="center"/>
          </w:tcPr>
          <w:p>
            <w:pPr>
              <w:spacing w:after="0"/>
            </w:pPr>
            <w:r/>
            <w:r>
              <w:rPr>
                <w:rFonts w:ascii="Calibri" w:hAnsi="Calibri"/>
                <w:b w:val="0"/>
                <w:color w:val="333537"/>
                <w:sz w:val="14"/>
              </w:rPr>
              <w:t>PR-197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Kural ihlali tespit edildiğinde ihlal gizlenmez; türü, nedeni, etkisi, düzeltmesi ve tekrarını önleyen otomatik kapı aynı sürümün durum kaydına yazılır. Sadece sözlü özür, teknik önlem yerine geçmez.</w:t>
            </w:r>
          </w:p>
        </w:tc>
      </w:tr>
      <w:tr>
        <w:tc>
          <w:tcPr>
            <w:tcW w:type="dxa" w:w="850"/>
            <w:vAlign w:val="center"/>
          </w:tcPr>
          <w:p>
            <w:pPr>
              <w:spacing w:after="0"/>
            </w:pPr>
            <w:r/>
            <w:r>
              <w:rPr>
                <w:rFonts w:ascii="Calibri" w:hAnsi="Calibri"/>
                <w:b w:val="0"/>
                <w:color w:val="333537"/>
                <w:sz w:val="14"/>
              </w:rPr>
              <w:t>PR-198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Tamamlanmış kaynak sürümü yerinde değiştirilmez. Her yeni kod veya kural değişikliği aylık sıradaki yeni görünür sürümde yapılır; önceki kaynak ZIP ve SHA tarihsel olarak değişmez kalır.</w:t>
            </w:r>
          </w:p>
        </w:tc>
      </w:tr>
      <w:tr>
        <w:tc>
          <w:tcPr>
            <w:tcW w:type="dxa" w:w="850"/>
            <w:vAlign w:val="center"/>
          </w:tcPr>
          <w:p>
            <w:pPr>
              <w:spacing w:after="0"/>
            </w:pPr>
            <w:r/>
            <w:r>
              <w:rPr>
                <w:rFonts w:ascii="Calibri" w:hAnsi="Calibri"/>
                <w:b w:val="0"/>
                <w:color w:val="333537"/>
                <w:sz w:val="14"/>
              </w:rPr>
              <w:t>PR-199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Kullanıcının yazılı olarak kabul ettiği kapsam ve kurallar, daha sonraki bir açık kullanıcı kararı olmadan kaldırılamaz, daraltılamaz veya önceliksiz öneri durumuna döndürülemez.</w:t>
            </w:r>
          </w:p>
        </w:tc>
      </w:tr>
      <w:tr>
        <w:tc>
          <w:tcPr>
            <w:tcW w:type="dxa" w:w="850"/>
            <w:vAlign w:val="center"/>
          </w:tcPr>
          <w:p>
            <w:pPr>
              <w:spacing w:after="0"/>
            </w:pPr>
            <w:r/>
            <w:r>
              <w:rPr>
                <w:rFonts w:ascii="Calibri" w:hAnsi="Calibri"/>
                <w:b w:val="0"/>
                <w:color w:val="333537"/>
                <w:sz w:val="14"/>
              </w:rPr>
              <w:t>PR-200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Zorunlu bitiş cümlesi her geliştirme tesliminde aynen kullanılır: “Bu teslim, yukarıdaki kanıtlarla sınırlıdır; çalıştırılmayan hiçbir kontrol PASS sayılmamıştır.”</w:t>
            </w:r>
          </w:p>
        </w:tc>
      </w:tr>
      <w:tr>
        <w:tc>
          <w:tcPr>
            <w:tcW w:type="dxa" w:w="850"/>
            <w:vAlign w:val="center"/>
          </w:tcPr>
          <w:p>
            <w:pPr>
              <w:spacing w:after="0"/>
            </w:pPr>
            <w:r/>
            <w:r>
              <w:rPr>
                <w:rFonts w:ascii="Calibri" w:hAnsi="Calibri"/>
                <w:b w:val="0"/>
                <w:color w:val="333537"/>
                <w:sz w:val="14"/>
              </w:rPr>
              <w:t>PR-201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ACTIVE kural config/rule-enforcement-registry.json içinde tam bir ve yalnız bir enforcement kaydına sahip olmak zorundadır; kaydı olmayan veya çift kaydı bulunan kural GOVERNED_PREFLIGHT ve GOVERNED_POSTFLIGHT işlemlerini fail-closed durdurur.</w:t>
            </w:r>
          </w:p>
        </w:tc>
      </w:tr>
      <w:tr>
        <w:tc>
          <w:tcPr>
            <w:tcW w:type="dxa" w:w="850"/>
            <w:vAlign w:val="center"/>
          </w:tcPr>
          <w:p>
            <w:pPr>
              <w:spacing w:after="0"/>
            </w:pPr>
            <w:r/>
            <w:r>
              <w:rPr>
                <w:rFonts w:ascii="Calibri" w:hAnsi="Calibri"/>
                <w:b w:val="0"/>
                <w:color w:val="333537"/>
                <w:sz w:val="14"/>
              </w:rPr>
              <w:t>PR-202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Bütün ACTIVE kural enforcement kayıtlarında failClosed=true ve waiverAllowed=false zorunludur. Skip, ignore, temporary bypass, soft pass veya kullanıcı karar defterine dayanmayan istisna mekanizması yasaktır.</w:t>
            </w:r>
          </w:p>
        </w:tc>
      </w:tr>
      <w:tr>
        <w:tc>
          <w:tcPr>
            <w:tcW w:type="dxa" w:w="850"/>
            <w:vAlign w:val="center"/>
          </w:tcPr>
          <w:p>
            <w:pPr>
              <w:spacing w:after="0"/>
            </w:pPr>
            <w:r/>
            <w:r>
              <w:rPr>
                <w:rFonts w:ascii="Calibri" w:hAnsi="Calibri"/>
                <w:b w:val="0"/>
                <w:color w:val="333537"/>
                <w:sz w:val="14"/>
              </w:rPr>
              <w:t>PR-203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Doğrudan makineyle doğrulanamayan veya dış ortam gerektiren kural sessizce PASS sayılamaz; zorunlu kanıt sağlanıncaya kadar NOT_RUN/BLOCKED olarak izlenir ve kuralın gerektirdiği Silver/Gold veya teslim aşamasını engeller.</w:t>
            </w:r>
          </w:p>
        </w:tc>
      </w:tr>
      <w:tr>
        <w:tc>
          <w:tcPr>
            <w:tcW w:type="dxa" w:w="850"/>
            <w:vAlign w:val="center"/>
          </w:tcPr>
          <w:p>
            <w:pPr>
              <w:spacing w:after="0"/>
            </w:pPr>
            <w:r/>
            <w:r>
              <w:rPr>
                <w:rFonts w:ascii="Calibri" w:hAnsi="Calibri"/>
                <w:b w:val="0"/>
                <w:color w:val="333537"/>
                <w:sz w:val="14"/>
              </w:rPr>
              <w:t>PR-204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PR-171 teknik olarak config/work-segmentation-plan.json durum makinesi ve verify-step-checkpoint-gate ile uygulanır. Bir büyük işte aynı anda en fazla bir adım IN_PROGRESS olabilir; önceki adım PASS ve kalıcı checkpoint kanıtı olmadan sonraki adım başlatılamaz.</w:t>
            </w:r>
          </w:p>
        </w:tc>
      </w:tr>
      <w:tr>
        <w:tc>
          <w:tcPr>
            <w:tcW w:type="dxa" w:w="850"/>
            <w:vAlign w:val="center"/>
          </w:tcPr>
          <w:p>
            <w:pPr>
              <w:spacing w:after="0"/>
            </w:pPr>
            <w:r/>
            <w:r>
              <w:rPr>
                <w:rFonts w:ascii="Calibri" w:hAnsi="Calibri"/>
                <w:b w:val="0"/>
                <w:color w:val="333537"/>
                <w:sz w:val="14"/>
              </w:rPr>
              <w:t>PR-205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Build, test, package ve publish komutları güncel governed preflight ile aktif work-step/checkpoint doğrulamasını geçmeden çalışamaz. Bu pre-hook zinciri aktif kural kararı olmadan kaldırılamaz veya zayıflatılamaz.</w:t>
            </w:r>
          </w:p>
        </w:tc>
      </w:tr>
      <w:tr>
        <w:tc>
          <w:tcPr>
            <w:tcW w:type="dxa" w:w="850"/>
            <w:vAlign w:val="center"/>
          </w:tcPr>
          <w:p>
            <w:pPr>
              <w:spacing w:after="0"/>
            </w:pPr>
            <w:r/>
            <w:r>
              <w:rPr>
                <w:rFonts w:ascii="Calibri" w:hAnsi="Calibri"/>
                <w:b w:val="0"/>
                <w:color w:val="333537"/>
                <w:sz w:val="14"/>
              </w:rPr>
              <w:t>PR-206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ACTIVE bir kuralın metni, durumu, enforcement sınıfı veya kapısı ancak açık kullanıcı kararı, yeni DEC kaydı ve yeni görünür sürümle değiştirilebilir. Sessiz kural silme, daraltma veya enforcement düşürme fail-closed ihlaldir.</w:t>
            </w:r>
          </w:p>
        </w:tc>
      </w:tr>
      <w:tr>
        <w:tc>
          <w:tcPr>
            <w:tcW w:type="dxa" w:w="850"/>
            <w:vAlign w:val="center"/>
          </w:tcPr>
          <w:p>
            <w:pPr>
              <w:spacing w:after="0"/>
            </w:pPr>
            <w:r/>
            <w:r>
              <w:rPr>
                <w:rFonts w:ascii="Calibri" w:hAnsi="Calibri"/>
                <w:b w:val="0"/>
                <w:color w:val="333537"/>
                <w:sz w:val="14"/>
              </w:rPr>
              <w:t>PR-207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Universal Rule Enforcement Gate hem GOVERNED_PREFLIGHT hem GOVERNED_POSTFLIGHT içinde zorunlu ilk sınıf kapıdır; registry kapsamı, gate dosyaları, evidence yolları ve waiver yasağı doğrulanmadan sürüm kapanamaz.</w:t>
            </w:r>
          </w:p>
        </w:tc>
      </w:tr>
      <w:tr>
        <w:tc>
          <w:tcPr>
            <w:tcW w:type="dxa" w:w="850"/>
            <w:vAlign w:val="center"/>
          </w:tcPr>
          <w:p>
            <w:pPr>
              <w:spacing w:after="0"/>
            </w:pPr>
            <w:r/>
            <w:r>
              <w:rPr>
                <w:rFonts w:ascii="Calibri" w:hAnsi="Calibri"/>
                <w:b w:val="0"/>
                <w:color w:val="333537"/>
                <w:sz w:val="14"/>
              </w:rPr>
              <w:t>PR-208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Büyük iş adımlarının kalıcı checkpoint kanıtı zorunlu Library dalında tutulur. Geçici /mnt/data sonucu, sohbet mesajı veya yalnız yerel dosya kalıcı checkpoint yerine geçmez; persistent receipt yoksa sonraki adım BLOCKED kalır.</w:t>
            </w:r>
          </w:p>
        </w:tc>
      </w:tr>
    </w:tbl>
    <w:p>
      <w:pPr>
        <w:pStyle w:val="Heading1"/>
        <w:keepNext/>
      </w:pPr>
      <w:r>
        <w:t>16. Aktif repo Word/PDF tarihsel envanter denetimi</w:t>
      </w:r>
    </w:p>
    <w:tbl>
      <w:tblPr>
        <w:tblStyle w:val="TableGrid"/>
        <w:tblW w:type="dxa" w:w="9360"/>
        <w:jc w:val="center"/>
        <w:tblLayout w:type="fixed"/>
        <w:tblLook w:firstColumn="1" w:firstRow="1" w:lastColumn="0" w:lastRow="0" w:noHBand="0" w:noVBand="1" w:val="04A0"/>
      </w:tblPr>
      <w:tblGrid>
        <w:gridCol w:w="5000"/>
        <w:gridCol w:w="800"/>
        <w:gridCol w:w="1300"/>
        <w:gridCol w:w="850"/>
        <w:gridCol w:w="1410"/>
      </w:tblGrid>
      <w:tr>
        <w:tc>
          <w:tcPr>
            <w:tcW w:type="dxa" w:w="5000"/>
            <w:shd w:fill="7C4D20"/>
            <w:vAlign w:val="center"/>
          </w:tcPr>
          <w:p>
            <w:pPr>
              <w:spacing w:after="0"/>
            </w:pPr>
            <w:r/>
            <w:r>
              <w:rPr>
                <w:rFonts w:ascii="Calibri" w:hAnsi="Calibri"/>
                <w:b/>
                <w:color w:val="FFFFFF"/>
                <w:sz w:val="14"/>
              </w:rPr>
              <w:t>Dosya</w:t>
            </w:r>
          </w:p>
        </w:tc>
        <w:tc>
          <w:tcPr>
            <w:tcW w:type="dxa" w:w="800"/>
            <w:shd w:fill="7C4D20"/>
            <w:vAlign w:val="center"/>
          </w:tcPr>
          <w:p>
            <w:pPr>
              <w:spacing w:after="0"/>
            </w:pPr>
            <w:r/>
            <w:r>
              <w:rPr>
                <w:rFonts w:ascii="Calibri" w:hAnsi="Calibri"/>
                <w:b/>
                <w:color w:val="FFFFFF"/>
                <w:sz w:val="14"/>
              </w:rPr>
              <w:t>Tür</w:t>
            </w:r>
          </w:p>
        </w:tc>
        <w:tc>
          <w:tcPr>
            <w:tcW w:type="dxa" w:w="1300"/>
            <w:shd w:fill="7C4D20"/>
            <w:vAlign w:val="center"/>
          </w:tcPr>
          <w:p>
            <w:pPr>
              <w:spacing w:after="0"/>
            </w:pPr>
            <w:r/>
            <w:r>
              <w:rPr>
                <w:rFonts w:ascii="Calibri" w:hAnsi="Calibri"/>
                <w:b/>
                <w:color w:val="FFFFFF"/>
                <w:sz w:val="14"/>
              </w:rPr>
              <w:t>Bayt</w:t>
            </w:r>
          </w:p>
        </w:tc>
        <w:tc>
          <w:tcPr>
            <w:tcW w:type="dxa" w:w="850"/>
            <w:shd w:fill="7C4D20"/>
            <w:vAlign w:val="center"/>
          </w:tcPr>
          <w:p>
            <w:pPr>
              <w:spacing w:after="0"/>
            </w:pPr>
            <w:r/>
            <w:r>
              <w:rPr>
                <w:rFonts w:ascii="Calibri" w:hAnsi="Calibri"/>
                <w:b/>
                <w:color w:val="FFFFFF"/>
                <w:sz w:val="14"/>
              </w:rPr>
              <w:t>Sayfa</w:t>
            </w:r>
          </w:p>
        </w:tc>
        <w:tc>
          <w:tcPr>
            <w:tcW w:type="dxa" w:w="1410"/>
            <w:shd w:fill="7C4D20"/>
            <w:vAlign w:val="center"/>
          </w:tcPr>
          <w:p>
            <w:pPr>
              <w:spacing w:after="0"/>
            </w:pPr>
            <w:r/>
            <w:r>
              <w:rPr>
                <w:rFonts w:ascii="Calibri" w:hAnsi="Calibri"/>
                <w:b/>
                <w:color w:val="FFFFFF"/>
                <w:sz w:val="14"/>
              </w:rPr>
              <w:t>Okuma</w:t>
            </w:r>
          </w:p>
        </w:tc>
      </w:tr>
      <w:tr>
        <w:tc>
          <w:tcPr>
            <w:tcW w:type="dxa" w:w="5000"/>
            <w:vAlign w:val="center"/>
          </w:tcPr>
          <w:p>
            <w:pPr>
              <w:spacing w:after="0"/>
            </w:pPr>
            <w:r/>
            <w:r>
              <w:rPr>
                <w:rFonts w:ascii="Calibri" w:hAnsi="Calibri"/>
                <w:b w:val="0"/>
                <w:color w:val="333537"/>
                <w:sz w:val="14"/>
              </w:rPr>
              <w:t>MASTER_PROJE_DOKUMANTASYONU_BRONZE_04.08.2026.28.docx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50355</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MASTER_PROJE_DOKUMANTASYONU_BRONZE_04.08.2026.28.pdf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270037</w:t>
            </w:r>
          </w:p>
        </w:tc>
        <w:tc>
          <w:tcPr>
            <w:tcW w:type="dxa" w:w="850"/>
            <w:vAlign w:val="center"/>
          </w:tcPr>
          <w:p>
            <w:pPr>
              <w:spacing w:after="0"/>
            </w:pPr>
            <w:r/>
            <w:r>
              <w:rPr>
                <w:rFonts w:ascii="Calibri" w:hAnsi="Calibri"/>
                <w:b w:val="0"/>
                <w:color w:val="333537"/>
                <w:sz w:val="14"/>
              </w:rPr>
              <w:t>8</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MASTER_PROJECT_DOCUMENTATION_BUILD209.docx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295186</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MASTER_PROJECT_DOCUMENTATION_BUILD209.pdf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391597</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MASTER_PROJECT_DOCUMENTATION_BUILD210.docx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295232</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MASTER_PROJECT_DOCUMENTATION_BUILD210.pdf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391568</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MASTER_PROJECT_DOCUMENTATION_BUILD211.docx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295261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MASTER_PROJECT_DOCUMENTATION_BUILD211.pdf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392005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MASTER_PROJECT_DOCUMENTATION_BUILD212.docx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1450067</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MASTER_PROJECT_DOCUMENTATION_BUILD212.pdf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465627</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MASTER_PROJECT_DOCUMENTATION_BUILD213.docx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1450174</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MASTER_PROJECT_DOCUMENTATION_BUILD213.pdf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466436</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MASTER_PROJECT_DOCUMENTATION_BUILD214.docx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1450504</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MASTER_PROJECT_DOCUMENTATION_BUILD214.pdf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471139</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MASTER_PROJECT_DOCUMENTATION_BUILD215.docx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1450671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MASTER_PROJECT_DOCUMENTATION_BUILD215.pdf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475135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MASTER_PROJECT_DOCUMENTATION_BUILD216.docx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1450820</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MASTER_PROJECT_DOCUMENTATION_BUILD216.pdf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478515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MASTER_PROJECT_DOCUMENTATION_BUILD217.docx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1450953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MASTER_PROJECT_DOCUMENTATION_BUILD217.pdf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480477</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MASTER_PROJECT_DOCUMENTATION_BUILD218.docx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1451081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MASTER_PROJECT_DOCUMENTATION_BUILD218.pdf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486085</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MASTER_PROJECT_DOCUMENTATION_BUILD219.docx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1451198</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MASTER_PROJECT_DOCUMENTATION_BUILD219.pdf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490035</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MASTER_PROJECT_DOCUMENTATION_BUILD220.docx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1451343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MASTER_PROJECT_DOCUMENTATION_BUILD220.pdf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492179</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MASTER_PROJECT_DOCUMENTATION_BUILD221.docx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1451422</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MASTER_PROJECT_DOCUMENTATION_BUILD221.pdf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493963</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MASTER_PROJECT_DOCUMENTATION_BUILD222.docx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1451543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MASTER_PROJECT_DOCUMENTATION_BUILD222.pdf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500845</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MASTER_PROJECT_DOCUMENTATION_BUILD223.docx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1451708</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MASTER_PROJECT_DOCUMENTATION_BUILD223.pdf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504411</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MASTER_PROJECT_DOCUMENTATION_BUILD224.docx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1451830</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MASTER_PROJECT_DOCUMENTATION_BUILD224.pdf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508458</w:t>
            </w:r>
          </w:p>
        </w:tc>
        <w:tc>
          <w:tcPr>
            <w:tcW w:type="dxa" w:w="850"/>
            <w:vAlign w:val="center"/>
          </w:tcPr>
          <w:p>
            <w:pPr>
              <w:spacing w:after="0"/>
            </w:pPr>
            <w:r/>
            <w:r>
              <w:rPr>
                <w:rFonts w:ascii="Calibri" w:hAnsi="Calibri"/>
                <w:b w:val="0"/>
                <w:color w:val="333537"/>
                <w:sz w:val="14"/>
              </w:rPr>
              <w:t>13</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MASTER_PROJECT_DOCUMENTATION_BUILD225.docx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1452091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MASTER_PROJECT_DOCUMENTATION_BUILD225.pdf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106165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MASTER_PROJECT_DOCUMENTATION_BUILD226.docx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1452193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MASTER_PROJECT_DOCUMENTATION_BUILD226.pdf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106818</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MASTER_PROJECT_DOCUMENTATION_BUILD227.docx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1452158</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MASTER_PROJECT_DOCUMENTATION_BUILD227.pdf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106951</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MASTER_PROJECT_DOCUMENTATION_BUILD228.docx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1452242</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MASTER_PROJECT_DOCUMENTATION_BUILD228.pdf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106893</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bl>
    <w:p>
      <w:pPr>
        <w:spacing w:after="120" w:line="300" w:lineRule="auto"/>
      </w:pPr>
      <w:r>
        <w:rPr>
          <w:rFonts w:ascii="Calibri" w:hAnsi="Calibri"/>
          <w:i w:val="0"/>
        </w:rPr>
        <w:t>Yeni sürüm, tarihsel dosyaların yerine geçmez; yalnız aktif çalışma gerçeğini tek yerde toplar.</w:t>
      </w:r>
    </w:p>
    <w:sectPr w:rsidR="00FC693F" w:rsidRPr="0006063C" w:rsidSect="00034616">
      <w:headerReference w:type="default" r:id="rId9"/>
      <w:footerReference w:type="default" r:id="rId10"/>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B69"/>
        <w:sz w:val="16"/>
      </w:rPr>
      <w:t xml:space="preserve">GUNCEL-2026-08-17-V1  •  Sayfa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B69"/>
        <w:sz w:val="16"/>
      </w:rPr>
      <w:t>ANADOLU PARSI  •  GÜNCEL MASTER DOKÜMANTASYON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3335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7C4D2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672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Anadolu Parsı Aile Yaşam Merkezi Güncel Master Dokümantasyon</dc:title>
  <dc:subject>Karar, kural, mimari, iş akışı, açık iş ve kanıt sicili</dc:subject>
  <dc:creator>Panthera pardus tulliana</dc:creator>
  <cp:keywords>Anadolu Parsı, governance, güvenlik, iş akışı, karar, kural</cp:keywords>
  <dc:description>generated by python-docx</dc:description>
  <cp:lastModifiedBy/>
  <cp:revision>1</cp:revision>
  <dcterms:created xsi:type="dcterms:W3CDTF">2013-12-23T23:15:00Z</dcterms:created>
  <dcterms:modified xsi:type="dcterms:W3CDTF">2013-12-23T23:15:00Z</dcterms:modified>
  <cp:category/>
</cp:coreProperties>
</file>