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GUNCEL-2026-08-24-V5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24.08.2026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22.08.2026.50</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d8508c5092e710db47eaa2425bec8f5d796440fc</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PPT-CANONICAL-RULE-REGISTRY-V28 / 215 aktif / f43126d7c874689e09e58f82e0fcc8771692649de5353e79191d82222af99285</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240 toplam / 215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184 / 106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PPT-CANONICAL-RULE-REGISTRY-V28: 240 toplam, 215 aktif, 25 superseded. SHA-256 f43126d7c874689e09e58f82e0fcc8771692649de5353e79191d82222af99285.</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IN_PROGRESS</w:t>
            </w:r>
          </w:p>
        </w:tc>
        <w:tc>
          <w:tcPr>
            <w:tcW w:type="dxa" w:w="1700"/>
            <w:vAlign w:val="center"/>
          </w:tcPr>
          <w:p>
            <w:pPr>
              <w:spacing w:after="0"/>
            </w:pPr>
            <w:r/>
            <w:r>
              <w:rPr>
                <w:rFonts w:ascii="Calibri" w:hAnsi="Calibri"/>
                <w:b w:val="0"/>
                <w:color w:val="333537"/>
                <w:sz w:val="13"/>
              </w:rPr>
              <w:t>IMPLEMENTED_LOCAL_AUTOMATED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PARTIAL_LOCAL_CANDIDATE_REGISTRY_COMPOSED_ACCEPTANCE_INCOMPLETE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PARTIAL_LOCAL_POLICY_METADATA_FOUNDATION_COMPOSED_ACCEPTANCE_INCOMPLETE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LOCAL_PRODUCTION_COMPOSITION_ACCEPTANCE_INCOMPLETE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LOCAL_PRODUCTION_QUERY_COMPOSED_ACCEPTANCE_INCOMPLETE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PLANNED_FINAL</w:t>
            </w:r>
          </w:p>
        </w:tc>
        <w:tc>
          <w:tcPr>
            <w:tcW w:type="dxa" w:w="1700"/>
            <w:vAlign w:val="center"/>
          </w:tcPr>
          <w:p>
            <w:pPr>
              <w:spacing w:after="0"/>
            </w:pPr>
            <w:r/>
            <w:r>
              <w:rPr>
                <w:rFonts w:ascii="Calibri" w:hAnsi="Calibri"/>
                <w:b w:val="0"/>
                <w:color w:val="333537"/>
                <w:sz w:val="13"/>
              </w:rPr>
              <w:t>LOCAL_CLOSURE_AUTOMATION_COMPOSED_ACCEPTANCE_BLOCKED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Bronze 51+ exact sibling continuation modlu UAT110 V3, installer-experience V2, parent-run bağlı UAT111 V3 ve final V3 geri-okuma kapılarıyla adversarial olarak güçlendirildi.</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ListBullet"/>
        <w:keepLines/>
        <w:spacing w:after="60" w:line="276" w:lineRule="auto"/>
      </w:pPr>
      <w:r>
        <w:rPr>
          <w:rFonts w:ascii="Calibri" w:hAnsi="Calibri"/>
          <w:sz w:val="19"/>
        </w:rPr>
        <w:t>PR-240 filtresiz tam regresyon guard hatası 4c6652e0 ile korunmuştur. PPK-022 masaüstü başlangıç zincirinde --no-write aktarımı çağrı, sarmalayıcı ve son makbuz üreticilerinde kapatılmış; kaynak regresyonu 1 dosya/6 test, çalışma 51/51, sözleşme 41/41 ve uçtan uca PPK-022 24/24 PASS verirken 1.571 doğrulama dosyasında sıfır değişiklik kanıtlanmıştır. Bundled render aracının yinelenen LibreOffice PATH hatası 6ec632c8 ile korunmuş, mutlak LibreOffice/Poppler yollarıyla ana belge 28/28 sayfa görsel QA PASS vermiştir.</w:t>
      </w:r>
    </w:p>
    <w:p>
      <w:pPr>
        <w:pStyle w:val="ListBullet"/>
        <w:keepLines/>
        <w:spacing w:after="60" w:line="276" w:lineRule="auto"/>
      </w:pPr>
      <w:r>
        <w:rPr>
          <w:rFonts w:ascii="Calibri" w:hAnsi="Calibri"/>
          <w:sz w:val="19"/>
        </w:rPr>
        <w:t>PR-240 hedefli test üreticisinin zorunlu açık test listesi verilmeden çağrılması 4c8b6b7d ile fail-closed korunmuştur. Etki değerlendirmesi ve analizi 577 değişen yol ile 94 test dosyasını PASS hesaplamıştır; yeni exact koşu bu 94 dosyayı analizden türetilen sırayla açıkça aktarır ve ret PASS olarak yorumlanmaz.</w:t>
      </w:r>
    </w:p>
    <w:p>
      <w:pPr>
        <w:pStyle w:val="ListBullet"/>
        <w:keepLines/>
        <w:spacing w:after="60" w:line="276" w:lineRule="auto"/>
      </w:pPr>
      <w:r>
        <w:rPr>
          <w:rFonts w:ascii="Calibri" w:hAnsi="Calibri"/>
          <w:sz w:val="19"/>
        </w:rPr>
        <w:t>PR-240 kanonik Git-index üretimi ile varsayılan canlı-ağaç doğrulama modu uyuşmazlığı 47f441e1 ile fail-closed korunmuştur. Eş --git-index --no-report doğrulaması 13.146 kontrol/4.407 dosya/2.143 belge ve kaynak bütünlüğü 4.868/4.868 dosya/4.869 SHA PASS vermiştir; yanlış-mod ret PASS değildir.</w:t>
      </w:r>
    </w:p>
    <w:p>
      <w:pPr>
        <w:pStyle w:val="ListBullet"/>
        <w:keepLines/>
        <w:spacing w:after="60" w:line="276" w:lineRule="auto"/>
      </w:pPr>
      <w:r>
        <w:rPr>
          <w:rFonts w:ascii="Calibri" w:hAnsi="Calibri"/>
          <w:sz w:val="19"/>
        </w:rPr>
        <w:t>PR-240 Bronze runtime önkoşul zinciri 703be65a, 0a118f5f ve 7fb288cd ile; 33-Y/33-Z/34-A alt süreç no-write sızıntısı ddb1abff ile fail-closed korunmuştur. Paket/core-service/desktop çıktılarından sonra 16/16 ek runtime PASS; ortak no-write aktarımından sonra 1 dosya/6 test, üç runtime ve üç byte-exact manifest SHA karşılaştırması PASS vermiştir. Yeni exact commit tam regresyonunun yerine geçmez.</w:t>
      </w:r>
    </w:p>
    <w:p>
      <w:pPr>
        <w:pStyle w:val="ListBullet"/>
        <w:keepLines/>
        <w:spacing w:after="60" w:line="276" w:lineRule="auto"/>
      </w:pPr>
      <w:r>
        <w:rPr>
          <w:rFonts w:ascii="Calibri" w:hAnsi="Calibri"/>
          <w:sz w:val="19"/>
        </w:rPr>
        <w:t>PR-240 güncel master DOCX ilk PNG renderında bundled Poppler yolunun çözülememesi dd675310 ile fail-closed korunmuştur. Exact Poppler/LibreOffice retry 28/28 sayfa üretmiş; 10–25 byte-identical, değişen 1–9 ve 26–28 sayfalar özgün çözünürlükte görsel QA PASS vermiştir.</w:t>
      </w:r>
    </w:p>
    <w:p>
      <w:pPr>
        <w:pStyle w:val="ListBullet"/>
        <w:keepLines/>
        <w:spacing w:after="60" w:line="276" w:lineRule="auto"/>
      </w:pPr>
      <w:r>
        <w:rPr>
          <w:rFonts w:ascii="Calibri" w:hAnsi="Calibri"/>
          <w:sz w:val="19"/>
        </w:rPr>
        <w:t>PR-240 release kaynak bütünlüğü doğrulayıcısının ana app çalışma ağacında çağrılması 99ad48dd ile fail-closed korunmuştur. Bu ret ürün kaynak bozulması değildir; exact Bronze çalışma ağacındaki retry PASS olmadan paket üretilemez.</w:t>
      </w:r>
    </w:p>
    <w:p>
      <w:pPr>
        <w:pStyle w:val="ListBullet"/>
        <w:keepLines/>
        <w:spacing w:after="60" w:line="276" w:lineRule="auto"/>
      </w:pPr>
      <w:r>
        <w:rPr>
          <w:rFonts w:ascii="Calibri" w:hAnsi="Calibri"/>
          <w:sz w:val="19"/>
        </w:rPr>
        <w:t>PR-240 final master DOCX 0669cb38 kaynak commitinden exact bundled LibreOffice/Poppler yollarıyla 28/28 sayfa render ve görsel QA PASS vermiştir; 2–6 byte-exact aynı, değişen 1 ve 7–28 özgün çözünürlükte kusursuzdur.</w:t>
      </w:r>
    </w:p>
    <w:p>
      <w:pPr>
        <w:pStyle w:val="ListBullet"/>
        <w:keepLines/>
        <w:spacing w:after="60" w:line="276" w:lineRule="auto"/>
      </w:pPr>
      <w:r>
        <w:rPr>
          <w:rFonts w:ascii="Calibri" w:hAnsi="Calibri"/>
          <w:sz w:val="19"/>
        </w:rPr>
        <w:t>PR-240 exact 80cf2a39 Bronze koşusunda hedefli 94 dosya/598 test ve filtresiz 398 dosya/2.469 test PASS sonrasında 33-R alt sürecinin migration manifestinde yalnız generatedAt değiştirmesi c7a3c130 ile fail-closed korunmuştur. Dört alt doğrulayıcıya no-write aktarımı eklendikten sonra odaklı 1 dosya/6 test ve gerçek 33-R matrisi 11/11, 8 dosya/30 test PASS; manifest SHA byte-exact değişmezdir. Yeni temiz exact commit tam regresyonunun yerine geçmez.</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IN_PROGRESS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PLANNED_FINAL / LOCAL_CLOSURE_AUDIT_STARTED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PARTIAL_EXTERNAL_ACTION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SUPERSEDED_BY_DEC_261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SUPERSEDED_BY_DEC-271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r>
        <w:trPr>
          <w:cantSplit/>
        </w:trPr>
        <w:tc>
          <w:tcPr>
            <w:tcW w:type="dxa" w:w="900"/>
            <w:vAlign w:val="center"/>
          </w:tcPr>
          <w:p>
            <w:pPr>
              <w:spacing w:after="0"/>
            </w:pPr>
            <w:r/>
            <w:r>
              <w:rPr>
                <w:rFonts w:ascii="Calibri" w:hAnsi="Calibri"/>
                <w:b w:val="0"/>
                <w:color w:val="333537"/>
                <w:sz w:val="13"/>
              </w:rPr>
              <w:t>ADR-107</w:t>
            </w:r>
          </w:p>
        </w:tc>
        <w:tc>
          <w:tcPr>
            <w:tcW w:type="dxa" w:w="5000"/>
            <w:vAlign w:val="center"/>
          </w:tcPr>
          <w:p>
            <w:pPr>
              <w:spacing w:after="0"/>
            </w:pPr>
            <w:r/>
            <w:r>
              <w:rPr>
                <w:rFonts w:ascii="Calibri" w:hAnsi="Calibri"/>
                <w:b w:val="0"/>
                <w:color w:val="333537"/>
                <w:sz w:val="13"/>
              </w:rPr>
              <w:t>ADR-107 — Adaptif IPC bakımında güçlü yeniden doğrulama</w:t>
            </w:r>
          </w:p>
        </w:tc>
        <w:tc>
          <w:tcPr>
            <w:tcW w:type="dxa" w:w="3460"/>
            <w:vAlign w:val="center"/>
          </w:tcPr>
          <w:p>
            <w:pPr>
              <w:spacing w:after="0"/>
            </w:pPr>
            <w:r/>
            <w:r>
              <w:rPr>
                <w:rFonts w:ascii="Calibri" w:hAnsi="Calibri"/>
                <w:b w:val="0"/>
                <w:color w:val="333537"/>
                <w:sz w:val="13"/>
              </w:rPr>
              <w:t>docs/adr/ADR-107-adaptive-ipc-maintenance-strong-reauthentication.md</w:t>
            </w:r>
          </w:p>
        </w:tc>
      </w:tr>
    </w:tbl>
    <w:p>
      <w:pPr>
        <w:pStyle w:val="Heading1"/>
        <w:keepNext/>
      </w:pPr>
      <w:r>
        <w:t>15. Kanonik kurallar — 240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GUNCEL-2026-08-24-V5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