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ca105d77982253df0f02e9dfc6c98516f73e208f</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Adaptif IPC bakımında güçlü yeniden doğrulama</w:t>
            </w:r>
          </w:p>
        </w:tc>
        <w:tc>
          <w:tcPr>
            <w:tcW w:type="dxa" w:w="3460"/>
            <w:vAlign w:val="center"/>
          </w:tcPr>
          <w:p>
            <w:pPr>
              <w:spacing w:after="0"/>
            </w:pPr>
            <w:r/>
            <w:r>
              <w:rPr>
                <w:rFonts w:ascii="Calibri" w:hAnsi="Calibri"/>
                <w:b w:val="0"/>
                <w:color w:val="333537"/>
                <w:sz w:val="13"/>
              </w:rPr>
              <w:t>docs/adr/ADR-039-adaptive-ipc-maintenance-strong-reauthentication.md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