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cf2a16155597a8951818b0fd1318bdf1b8461d35</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PPT-CANONICAL-RULE-REGISTRY-V27 / 215 aktif / 4c8a52f9adc2153177f1e504104e20ac5e9d3f7d780daa2c7d7bdb5d399a6050</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PPT-CANONICAL-RULE-REGISTRY-V27: 240 toplam, 215 aktif, 25 superseded. SHA-256 4c8a52f9adc2153177f1e504104e20ac5e9d3f7d780daa2c7d7bdb5d399a6050.</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canlı sibling predecessor, installer-experience V2, UAT110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schema-2 yükseltme ile ayrı N+1→N+1 maintenance fazlarında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distinct run/evidence kökleri, producer SHA, exact kronoloji ve canlı dosya geri-okumasıyla yeniden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