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ForceforSustainableValueCre </w:t>
      </w:r>
    </w:p>
    <w:p>
      <w:pPr>
        <w:pStyle w:val="Heading1"/>
      </w:pPr>
      <w:r>
        <w:t>MacroenvironmentalPESTAnalysis</w:t>
      </w:r>
    </w:p>
    <w:p>
      <w:pPr>
        <w:ind w:firstLine="360"/>
      </w:pPr>
      <w:r>
        <w:rPr>
          <w:sz w:val="20"/>
        </w:rPr>
        <w:t xml:space="preserve">MacroenvironmentalPESTAnalys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business environment surrounding IToCHU is changing day by day, while uncertainties increase. Through a </w:t>
      </w:r>
      <w:r>
        <w:rPr>
          <w:sz w:val="20"/>
        </w:rPr>
        <w:t xml:space="preserve">PEST analysis, we adequately assess the risks and opportunities related to non-financial capital in the context  </w:t>
      </w:r>
      <w:r>
        <w:rPr>
          <w:sz w:val="20"/>
        </w:rPr>
        <w:t xml:space="preserve">of macroeconomic factors, including the CoviD-19 pandemic and trade friction between the United States and </w:t>
      </w:r>
      <w:r>
        <w:rPr>
          <w:sz w:val="20"/>
        </w:rPr>
        <w:t xml:space="preserve">China. We use this assessment to build a stronger competitive edge while flexibly responding and adapting to </w:t>
      </w:r>
      <w:r>
        <w:rPr>
          <w:sz w:val="20"/>
        </w:rPr>
        <w:t xml:space="preserve">changes in thebusinessenvironment.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</w:tcPr>
          <w:p>
            <w:r>
              <w:t>(Political / Legal)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Risks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Political Trends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Opportunities</w:t>
            </w:r>
          </w:p>
        </w:tc>
      </w:tr>
      <w:tr>
        <w:tc>
          <w:tcPr>
            <w:tcW w:type="dxa" w:w="960"/>
          </w:tcPr>
          <w:p>
            <w:r>
              <w:t xml:space="preserve"> Global economic stagnation; decrease in trade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U.S.-China Conflict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Supply chain revisions</w:t>
            </w:r>
          </w:p>
        </w:tc>
      </w:tr>
      <w:tr>
        <w:tc>
          <w:tcPr>
            <w:tcW w:type="dxa" w:w="960"/>
          </w:tcPr>
          <w:p>
            <w:r>
              <w:t>volume; stricter export and investment regulations Decrease in trade volume and movement;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4800"/>
            <w:gridSpan w:val="5"/>
          </w:tcPr>
          <w:p>
            <w:r>
              <w:t>(Trade disputes,forced technology transfer) Anti-globalization Movement</w:t>
            </w:r>
          </w:p>
        </w:tc>
        <w:tc>
          <w:tcPr>
            <w:tcW w:type="dxa" w:w="1920"/>
            <w:gridSpan w:val="2"/>
          </w:tcPr>
          <w:p>
            <w:r>
              <w:t xml:space="preserve"> Greater complexity in food and resource procurement; </w:t>
            </w:r>
          </w:p>
        </w:tc>
      </w:tr>
      <w:tr>
        <w:tc>
          <w:tcPr>
            <w:tcW w:type="dxa" w:w="960"/>
          </w:tcPr>
          <w:p>
            <w:r>
              <w:t xml:space="preserve">destabilization of financial markets Coercive political management </w:t>
            </w:r>
          </w:p>
        </w:tc>
        <w:tc>
          <w:tcPr>
            <w:tcW w:type="dxa" w:w="5760"/>
            <w:gridSpan w:val="6"/>
          </w:tcPr>
          <w:p>
            <w:r>
              <w:t>(Brexit and protectionism) Elections (U.S.presidential and Lower House elections)</w:t>
            </w:r>
          </w:p>
        </w:tc>
        <w:tc>
          <w:tcPr>
            <w:tcW w:type="dxa" w:w="1920"/>
            <w:gridSpan w:val="2"/>
          </w:tcPr>
          <w:p>
            <w:r>
              <w:t>supply chain revisions Economic stimulus</w:t>
            </w:r>
          </w:p>
        </w:tc>
      </w:tr>
      <w:tr>
        <w:tc>
          <w:tcPr>
            <w:tcW w:type="dxa" w:w="960"/>
          </w:tcPr>
          <w:p>
            <w:r>
              <w:t>Economic stagnation due to terrorism and armed conflict;:</w:t>
            </w:r>
          </w:p>
        </w:tc>
        <w:tc>
          <w:tcPr>
            <w:tcW w:type="dxa" w:w="5760"/>
            <w:gridSpan w:val="6"/>
          </w:tcPr>
          <w:p>
            <w:r>
              <w:t>Geopolitical Risks (Middle East, North Korea, etc.)</w:t>
            </w:r>
          </w:p>
        </w:tc>
        <w:tc>
          <w:tcPr>
            <w:tcW w:type="dxa" w:w="1920"/>
            <w:gridSpan w:val="2"/>
          </w:tcPr>
          <w:p>
            <w:r>
              <w:t>Increase in crude oil prices</w:t>
            </w:r>
          </w:p>
        </w:tc>
      </w:tr>
      <w:tr>
        <w:tc>
          <w:tcPr>
            <w:tcW w:type="dxa" w:w="960"/>
          </w:tcPr>
          <w:p>
            <w:r>
              <w:t>disorder in financial markets</w:t>
            </w:r>
          </w:p>
        </w:tc>
        <w:tc>
          <w:tcPr>
            <w:tcW w:type="dxa" w:w="5760"/>
            <w:gridSpan w:val="6"/>
          </w:tcPr>
          <w:p>
            <w:r>
              <w:t>Changes in Tax Code and Regulations</w:t>
            </w:r>
          </w:p>
        </w:tc>
        <w:tc>
          <w:tcPr>
            <w:tcW w:type="dxa" w:w="1920"/>
            <w:gridSpan w:val="2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4 5</w:t>
            </w:r>
          </w:p>
        </w:tc>
        <w:tc>
          <w:tcPr>
            <w:tcW w:type="dxa" w:w="5760"/>
            <w:gridSpan w:val="6"/>
          </w:tcPr>
          <w:p>
            <w:r>
              <w:t>1 3 2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Decrease in trade volume</w:t>
            </w:r>
          </w:p>
        </w:tc>
        <w:tc>
          <w:tcPr>
            <w:tcW w:type="dxa" w:w="5760"/>
            <w:gridSpan w:val="6"/>
          </w:tcPr>
          <w:p>
            <w:r>
              <w:t>Trade Talks and Trade Agreements (Japan-U.S.,U.S-EU,USMCA,tc.)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Supply chain revisions</w:t>
            </w:r>
          </w:p>
        </w:tc>
      </w:tr>
      <w:tr>
        <w:tc>
          <w:tcPr>
            <w:tcW w:type="dxa" w:w="960"/>
          </w:tcPr>
          <w:p>
            <w:r>
              <w:t xml:space="preserve"> Existing energy market shrinkage </w:t>
            </w:r>
          </w:p>
        </w:tc>
        <w:tc>
          <w:tcPr>
            <w:tcW w:type="dxa" w:w="5760"/>
            <w:gridSpan w:val="6"/>
          </w:tcPr>
          <w:p>
            <w:r>
              <w:t>Greenhouse Gas Containment Regulations (Paris Agreement, etc.)</w:t>
            </w:r>
          </w:p>
        </w:tc>
        <w:tc>
          <w:tcPr>
            <w:tcW w:type="dxa" w:w="960"/>
          </w:tcPr>
          <w:p>
            <w:r>
              <w:t>Expansion of new energy market</w:t>
            </w:r>
          </w:p>
        </w:tc>
        <w:tc>
          <w:tcPr>
            <w:tcW w:type="dxa" w:w="960"/>
          </w:tcPr>
          <w:p>
            <w:r>
              <w:t>(wind power, solar power,et.)</w:t>
            </w:r>
          </w:p>
        </w:tc>
      </w:tr>
      <w:tr>
        <w:tc>
          <w:tcPr>
            <w:tcW w:type="dxa" w:w="960"/>
          </w:tcPr>
          <w:p>
            <w:r>
              <w:t xml:space="preserve">(coal and crude oil) Rising costs, such as those for establishing data governance; </w:t>
            </w:r>
          </w:p>
        </w:tc>
        <w:tc>
          <w:tcPr>
            <w:tcW w:type="dxa" w:w="5760"/>
            <w:gridSpan w:val="6"/>
          </w:tcPr>
          <w:p>
            <w:r>
              <w:t xml:space="preserve"> Tightening Regulations on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End of data monopolies held by existing platformers; expansion of open data availability</w:t>
            </w:r>
          </w:p>
        </w:tc>
      </w:tr>
      <w:tr>
        <w:tc>
          <w:tcPr>
            <w:tcW w:type="dxa" w:w="960"/>
          </w:tcPr>
          <w:p>
            <w:r>
              <w:t>damageanddeclineof reputation</w:t>
            </w:r>
          </w:p>
        </w:tc>
        <w:tc>
          <w:tcPr>
            <w:tcW w:type="dxa" w:w="5760"/>
            <w:gridSpan w:val="6"/>
          </w:tcPr>
          <w:p>
            <w:r>
              <w:t>Handling of Personal Data International Tax Trends (Measures to address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Improvement in corporate performance; optimized taxation</w:t>
            </w:r>
          </w:p>
        </w:tc>
      </w:tr>
      <w:tr>
        <w:tc>
          <w:tcPr>
            <w:tcW w:type="dxa" w:w="960"/>
          </w:tcPr>
          <w:p>
            <w:r>
              <w:t>Decrease in existing business transactions</w:t>
            </w:r>
          </w:p>
        </w:tc>
        <w:tc>
          <w:tcPr>
            <w:tcW w:type="dxa" w:w="5760"/>
            <w:gridSpan w:val="6"/>
          </w:tcPr>
          <w:p>
            <w:r>
              <w:t>tax avoidance and platformers) Economic Policy Trends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1 2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Destabiization of financial markets</w:t>
            </w:r>
          </w:p>
        </w:tc>
        <w:tc>
          <w:tcPr>
            <w:tcW w:type="dxa" w:w="960"/>
          </w:tcPr>
          <w:p>
            <w:r>
              <w:t>ContinuationofMonetary EasingPolicy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Stable low cost of fundraising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Upward pressure on interest rates; higher taxes</w:t>
            </w:r>
          </w:p>
        </w:tc>
        <w:tc>
          <w:tcPr>
            <w:tcW w:type="dxa" w:w="5760"/>
            <w:gridSpan w:val="6"/>
          </w:tcPr>
          <w:p>
            <w:r>
              <w:t>Change in Expansionary Fiscal Policy</w:t>
            </w:r>
          </w:p>
        </w:tc>
        <w:tc>
          <w:tcPr>
            <w:tcW w:type="dxa" w:w="960"/>
          </w:tcPr>
          <w:p>
            <w:r>
              <w:t>Expectations for private sector to drive economic growth; faster pace of deregulation</w:t>
            </w:r>
          </w:p>
        </w:tc>
        <w:tc>
          <w:tcPr>
            <w:tcW w:type="dxa" w:w="960"/>
          </w:tcPr>
          <w:p/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3676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33, 440, 1492, 1441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760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3240"/>
            <w:gridSpan w:val="3"/>
          </w:tcPr>
          <w:p>
            <w:r>
              <w:t>Risks</w:t>
            </w:r>
          </w:p>
        </w:tc>
        <w:tc>
          <w:tcPr>
            <w:tcW w:type="dxa" w:w="5400"/>
            <w:gridSpan w:val="5"/>
          </w:tcPr>
          <w:p>
            <w:r>
              <w:t xml:space="preserve"> </w:t>
            </w:r>
          </w:p>
        </w:tc>
      </w:tr>
      <w:tr>
        <w:tc>
          <w:tcPr>
            <w:tcW w:type="dxa" w:w="1080"/>
            <w:vMerge w:val="restart"/>
          </w:tcPr>
          <w:p>
            <w:r>
              <w:t>Decrease in business opportunities and trade volume</w:t>
            </w:r>
          </w:p>
        </w:tc>
        <w:tc>
          <w:tcPr>
            <w:tcW w:type="dxa" w:w="6480"/>
            <w:gridSpan w:val="6"/>
          </w:tcPr>
          <w:p>
            <w:r>
              <w:t>Economic Slump in Developed Countries</w:t>
            </w:r>
          </w:p>
        </w:tc>
        <w:tc>
          <w:tcPr>
            <w:tcW w:type="dxa" w:w="1080"/>
            <w:vMerge w:val="restart"/>
          </w:tcPr>
          <w:p>
            <w:r>
              <w:t>Opportunities Emergence of new demand from changes in consumer and corporate behavior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3 4</w:t>
            </w:r>
          </w:p>
        </w:tc>
        <w:tc>
          <w:tcPr>
            <w:tcW w:type="dxa" w:w="1080"/>
          </w:tcPr>
          <w:p>
            <w:r>
              <w:t>5 6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  <w:vMerge w:val="restart"/>
          </w:tcPr>
          <w:p>
            <w:r>
              <w:t>Emergence of non-performing assets due to economic and social deterioration</w:t>
            </w:r>
          </w:p>
        </w:tc>
        <w:tc>
          <w:tcPr>
            <w:tcW w:type="dxa" w:w="6480"/>
            <w:gridSpan w:val="6"/>
          </w:tcPr>
          <w:p>
            <w:r>
              <w:t>Greater Disparities in Economic Growth in Emerging Countries</w:t>
            </w:r>
          </w:p>
        </w:tc>
        <w:tc>
          <w:tcPr>
            <w:tcW w:type="dxa" w:w="1080"/>
            <w:vMerge w:val="restart"/>
          </w:tcPr>
          <w:p>
            <w:r>
              <w:t xml:space="preserve">Increase in consumer spending as standard of living improves; increase in demand for infra- structure and foodstuffs as population grows 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Dollar Appreciation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  <w:vMerge w:val="restart"/>
          </w:tcPr>
          <w:p>
            <w:r>
              <w:t>Decrease in currencies of emerging countries; increase in overseas investment costs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4320"/>
            <w:gridSpan w:val="4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  <w:vMerge w:val="restart"/>
          </w:tcPr>
          <w:p>
            <w:r>
              <w:t>Improvement in earnings environment due to yen depreciation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5 6</w:t>
            </w:r>
          </w:p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Asset (stocks, real estate) and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  <w:vMerge w:val="restart"/>
          </w:tcPr>
          <w:p>
            <w:r>
              <w:t xml:space="preserve">Formation and collapse of asset bubbles in specific fields and products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4320"/>
            <w:gridSpan w:val="4"/>
          </w:tcPr>
          <w:p>
            <w:r>
              <w:t>ResourcePrice Increase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  <w:vMerge w:val="restart"/>
          </w:tcPr>
          <w:p>
            <w:r>
              <w:t>Increase in fundraising capacity due to higher value of existing assets; growth in earnings from trading Increase in expected returns as growth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3 4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5 6</w:t>
            </w:r>
          </w:p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Change in Investment Environment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  <w:vMerge w:val="restart"/>
          </w:tcPr>
          <w:p>
            <w:r>
              <w:t xml:space="preserve"> Excessive swings in project prices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  <w:vMerge w:val="restart"/>
          </w:tcPr>
          <w:p>
            <w:r>
              <w:t>rebounds; more investment opportunities in fields of strength in accordance with restructuring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  <w:vMerge/>
          </w:tcPr>
          <w:p/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8193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22, 1613, 1479, 2153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3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With only moderate recoveries in the economies of developed countries, and widening disparities </w:t>
      </w:r>
      <w:r>
        <w:rPr>
          <w:sz w:val="20"/>
        </w:rPr>
        <w:t xml:space="preserve">in the economic growth potential of emerging countries, monitor the balance between growth fields and fields peakin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36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