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viacroenvironmentalPEST Analvsis </w:t>
      </w:r>
    </w:p>
    <w:p>
      <w:pPr>
        <w:ind w:firstLine="360"/>
      </w:pPr>
      <w:r>
        <w:rPr>
          <w:sz w:val="20"/>
        </w:rPr>
        <w:t xml:space="preserve">Viacroenvironmental PEST Analvsis </w:t>
      </w:r>
    </w:p>
    <w:p>
      <w:pPr>
        <w:ind w:firstLine="360"/>
      </w:pPr>
      <w:r>
        <w:rPr>
          <w:sz w:val="20"/>
        </w:rPr>
        <w:t xml:space="preserve">le business environment surrunding IOCHU is changing day by day, while uncertainties increase.Through a </w:t>
      </w:r>
      <w:r>
        <w:rPr>
          <w:sz w:val="20"/>
        </w:rPr>
        <w:t xml:space="preserve">PEST analysis,we adequatelyassess the risks and opportunities related tonon-financial capital in the context </w:t>
      </w:r>
      <w:r>
        <w:rPr>
          <w:sz w:val="20"/>
        </w:rPr>
        <w:t xml:space="preserve">of macroeconomic factors, including the CoVID-19 pandemic and trade friction between the United States and </w:t>
      </w:r>
      <w:r>
        <w:rPr>
          <w:sz w:val="20"/>
        </w:rPr>
        <w:t xml:space="preserve">China.Weuse this assessment to build a stronger competitive edge while flexibly responding and adapting to </w:t>
      </w:r>
      <w:r>
        <w:rPr>
          <w:sz w:val="20"/>
        </w:rPr>
        <w:t xml:space="preserve">changes inthebusinessenvironment </w:t>
      </w:r>
    </w:p>
    <w:p>
      <w:pPr>
        <w:ind w:firstLine="360"/>
      </w:pPr>
      <w:r>
        <w:rPr>
          <w:sz w:val="20"/>
        </w:rPr>
        <w:t xml:space="preserve">me business environment surroundingITOCHU is changing dayby day,while uncertaintiesincrease.Through </w:t>
      </w:r>
      <w:r>
        <w:rPr>
          <w:sz w:val="20"/>
        </w:rPr>
        <w:t xml:space="preserve">PEST analysis, we adequately assess the risks and opportunities related to non-financial capital in the context </w:t>
      </w:r>
      <w:r>
        <w:rPr>
          <w:sz w:val="20"/>
        </w:rPr>
        <w:t xml:space="preserve">of macroeconomic factors,including the CoVID-19 pandemic and trade friction between the United States and </w:t>
      </w:r>
      <w:r>
        <w:rPr>
          <w:sz w:val="20"/>
        </w:rPr>
        <w:t xml:space="preserve">China. We use this assessment to build a stronger competitive edge while flexibly responding and adapting to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38"/>
            <w:gridSpan w:val="7"/>
          </w:tcPr>
          <w:p>
            <w:r>
              <w:t>(Political / Legal)</w:t>
            </w:r>
          </w:p>
        </w:tc>
      </w:tr>
      <w:tr>
        <w:tc>
          <w:tcPr>
            <w:tcW w:type="dxa" w:w="8638"/>
            <w:gridSpan w:val="7"/>
          </w:tcPr>
          <w:p>
            <w:r>
              <w:t xml:space="preserve"> </w:t>
            </w:r>
          </w:p>
        </w:tc>
      </w:tr>
      <w:tr>
        <w:tc>
          <w:tcPr>
            <w:tcW w:type="dxa" w:w="1234"/>
            <w:vMerge w:val="restart"/>
          </w:tcPr>
          <w:p>
            <w:r>
              <w:t>Risks</w:t>
            </w:r>
          </w:p>
        </w:tc>
        <w:tc>
          <w:tcPr>
            <w:tcW w:type="dxa" w:w="4936"/>
            <w:gridSpan w:val="4"/>
          </w:tcPr>
          <w:p>
            <w:r>
              <w:t xml:space="preserve"> </w:t>
            </w:r>
          </w:p>
        </w:tc>
        <w:tc>
          <w:tcPr>
            <w:tcW w:type="dxa" w:w="1234"/>
            <w:vMerge w:val="restart"/>
          </w:tcPr>
          <w:p>
            <w:r>
              <w:t>Opportunities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  <w:vMerge/>
          </w:tcPr>
          <w:p/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Political Trends 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  <w:vMerge/>
          </w:tcPr>
          <w:p/>
        </w:tc>
        <w:tc>
          <w:tcPr>
            <w:tcW w:type="dxa" w:w="1234"/>
          </w:tcPr>
          <w:p>
            <w:r>
              <w:t>Supply chain revisions</w:t>
            </w:r>
          </w:p>
        </w:tc>
      </w:tr>
      <w:tr>
        <w:tc>
          <w:tcPr>
            <w:tcW w:type="dxa" w:w="1234"/>
            <w:vMerge w:val="restart"/>
          </w:tcPr>
          <w:p>
            <w:r>
              <w:t>Global economic stagnation; decrease in trade volume;stricterexport and investment regulations Decrease intradevolumeandmovement; destabilizationof financialmarkets Coercive political management</w:t>
            </w:r>
          </w:p>
        </w:tc>
        <w:tc>
          <w:tcPr>
            <w:tcW w:type="dxa" w:w="7404"/>
            <w:gridSpan w:val="6"/>
          </w:tcPr>
          <w:p>
            <w:r>
              <w:t>U.S.-China Conflict (Trade disputes,forced technology transfer)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7404"/>
            <w:gridSpan w:val="6"/>
          </w:tcPr>
          <w:p>
            <w:r>
              <w:t>Anti-globalizationMovement Greatercomplexity in food and resource procurement;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7404"/>
            <w:gridSpan w:val="6"/>
          </w:tcPr>
          <w:p>
            <w:r>
              <w:t>(Brexit and protectionism) Elections (U.S.presidential andLowerHouse elections)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7404"/>
            <w:gridSpan w:val="6"/>
          </w:tcPr>
          <w:p>
            <w:r>
              <w:t>Economic stagnation due to terrorism and Geopolitical Risks(Middle East,NorthKorea,et.)</w:t>
            </w:r>
          </w:p>
        </w:tc>
      </w:tr>
      <w:tr>
        <w:tc>
          <w:tcPr>
            <w:tcW w:type="dxa" w:w="7404"/>
            <w:gridSpan w:val="6"/>
          </w:tcPr>
          <w:p>
            <w:r>
              <w:t>armed conflict; disorderinfinancial markets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7404"/>
            <w:gridSpan w:val="6"/>
          </w:tcPr>
          <w:p>
            <w:r>
              <w:t xml:space="preserve"> 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Decrease in trade volume</w:t>
            </w:r>
          </w:p>
        </w:tc>
        <w:tc>
          <w:tcPr>
            <w:tcW w:type="dxa" w:w="1234"/>
          </w:tcPr>
          <w:p>
            <w:r>
              <w:t>Changes in Tax Code and Regulations 2 TradeTalks and Trade Agreements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supply chain revisions Economic stimulus Increase in crude oil prices Supply chain revisions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Existing energymarket shrinkage</w:t>
            </w:r>
          </w:p>
        </w:tc>
        <w:tc>
          <w:tcPr>
            <w:tcW w:type="dxa" w:w="7404"/>
            <w:gridSpan w:val="6"/>
          </w:tcPr>
          <w:p>
            <w:r>
              <w:t>(Japan-U.S.,U.S.-EU,USMCA,etc.)</w:t>
            </w:r>
          </w:p>
        </w:tc>
      </w:tr>
      <w:tr>
        <w:tc>
          <w:tcPr>
            <w:tcW w:type="dxa" w:w="1234"/>
          </w:tcPr>
          <w:p>
            <w:r>
              <w:t>(coal and crude oil) Rising costs, such as those forestablishing</w:t>
            </w:r>
          </w:p>
        </w:tc>
        <w:tc>
          <w:tcPr>
            <w:tcW w:type="dxa" w:w="7404"/>
            <w:gridSpan w:val="6"/>
          </w:tcPr>
          <w:p>
            <w:r>
              <w:t>Greenhouse GasContainmentRegulations Expansionof new energy market (Paris Agreement,etc.) (wind power, solarpower,etc.)</w:t>
            </w:r>
          </w:p>
        </w:tc>
      </w:tr>
      <w:tr>
        <w:tc>
          <w:tcPr>
            <w:tcW w:type="dxa" w:w="1234"/>
          </w:tcPr>
          <w:p>
            <w:r>
              <w:t>data governance; damage and declineof reputation</w:t>
            </w:r>
          </w:p>
        </w:tc>
        <w:tc>
          <w:tcPr>
            <w:tcW w:type="dxa" w:w="7404"/>
            <w:gridSpan w:val="6"/>
          </w:tcPr>
          <w:p>
            <w:r>
              <w:t>Tightening Regulations on End of datamonopoliesheldbyexisting platformers; Handling of Personal Data expansion of open data availability</w:t>
            </w:r>
          </w:p>
        </w:tc>
      </w:tr>
      <w:tr>
        <w:tc>
          <w:tcPr>
            <w:tcW w:type="dxa" w:w="1234"/>
          </w:tcPr>
          <w:p>
            <w:r>
              <w:t>Decrease in existing business transactions</w:t>
            </w:r>
          </w:p>
        </w:tc>
        <w:tc>
          <w:tcPr>
            <w:tcW w:type="dxa" w:w="7404"/>
            <w:gridSpan w:val="6"/>
          </w:tcPr>
          <w:p>
            <w:r>
              <w:t>International TaxTrends(Measurestoaddress Improvement in corporateperformance; taxavoidance and platformers) optimized taxation Economic Policy Trends</w:t>
            </w:r>
          </w:p>
        </w:tc>
      </w:tr>
      <w:tr>
        <w:tc>
          <w:tcPr>
            <w:tcW w:type="dxa" w:w="7404"/>
            <w:gridSpan w:val="6"/>
          </w:tcPr>
          <w:p>
            <w:r>
              <w:t xml:space="preserve"> 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 ContinuationofMonetary EasingPolicy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Stable lowcostoffundraising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Destabilization of financial markets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Expectationsforprivatesector to drive economic growth; faster pace of deregulation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Upward pressure oninterest rates;highertaxes</w:t>
            </w:r>
          </w:p>
        </w:tc>
        <w:tc>
          <w:tcPr>
            <w:tcW w:type="dxa" w:w="7404"/>
            <w:gridSpan w:val="6"/>
          </w:tcPr>
          <w:p>
            <w:r>
              <w:t>Change inExpansionaryFiscalPolicy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9272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8, 1511, 1506, 2235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72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23684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693, 330, 3191, 2270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684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[71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BANIAL REPORT20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