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“Sampo-yoshi,” Our Values for Creating the Future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479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82, 193, 1506, 2211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9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Overcoming</w:t>
      </w:r>
    </w:p>
    <w:p>
      <w:pPr>
        <w:ind w:firstLine="360"/>
      </w:pPr>
      <w:r>
        <w:rPr>
          <w:sz w:val="20"/>
        </w:rPr>
        <w:t xml:space="preserve">Over a history of more than 160 years since its </w:t>
      </w:r>
      <w:r>
        <w:rPr>
          <w:sz w:val="20"/>
        </w:rPr>
        <w:t xml:space="preserve">founding, ITOCHU has faced various social </w:t>
      </w:r>
      <w:r>
        <w:rPr>
          <w:sz w:val="20"/>
        </w:rPr>
        <w:t xml:space="preserve">upheavals and serious economic downturns. </w:t>
      </w:r>
      <w:r>
        <w:rPr>
          <w:sz w:val="20"/>
        </w:rPr>
        <w:t xml:space="preserve">There was even the “period of hardship” when our </w:t>
      </w:r>
      <w:r>
        <w:rPr>
          <w:sz w:val="20"/>
        </w:rPr>
        <w:t xml:space="preserve">raison d'etre was questioned due to changes in the </w:t>
      </w:r>
      <w:r>
        <w:rPr>
          <w:sz w:val="20"/>
        </w:rPr>
        <w:t xml:space="preserve">social structure. </w:t>
      </w:r>
      <w:r>
        <w:rPr>
          <w:sz w:val="20"/>
        </w:rPr>
        <w:t xml:space="preserve">On countless occasions, we overcame turbulent </w:t>
      </w:r>
      <w:r>
        <w:rPr>
          <w:sz w:val="20"/>
        </w:rPr>
        <w:t xml:space="preserve">seas as we continued to hone ourselves. Our driving </w:t>
      </w:r>
      <w:r>
        <w:rPr>
          <w:sz w:val="20"/>
        </w:rPr>
        <w:t xml:space="preserve">force has been our ability as a merchant to sniff out </w:t>
      </w:r>
      <w:r>
        <w:rPr>
          <w:sz w:val="20"/>
        </w:rPr>
        <w:t xml:space="preserve">change and respond with Hexibility and swiftness td </w:t>
      </w:r>
      <w:r>
        <w:rPr>
          <w:sz w:val="20"/>
        </w:rPr>
        <w:t xml:space="preserve">changes in the business structure: “proactive, agile, </w:t>
      </w:r>
      <w:r>
        <w:rPr>
          <w:sz w:val="20"/>
        </w:rPr>
        <w:t xml:space="preserve">and rational" management.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