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ind w:firstLine="360"/>
      </w:pPr>
      <w:r>
        <w:rPr>
          <w:sz w:val="20"/>
        </w:rPr>
        <w:t xml:space="preserve">ForceforSustainableValueCre </w:t>
      </w:r>
    </w:p>
    <w:p>
      <w:pPr>
        <w:pStyle w:val="Heading1"/>
      </w:pPr>
      <w:r>
        <w:t>ThePositiveCycleof DialogueandEnhancingCorporate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ind w:firstLine="360"/>
      </w:pPr>
      <w:r>
        <w:rPr>
          <w:sz w:val="20"/>
        </w:rPr>
        <w:t xml:space="preserve">PositiveCycleofDialogueandEnhancingCorporateValue </w:t>
      </w:r>
    </w:p>
    <w:p>
      <w:pPr>
        <w:ind w:firstLine="360"/>
      </w:pPr>
      <w:r>
        <w:rPr>
          <w:sz w:val="20"/>
        </w:rPr>
        <w:t xml:space="preserve">ITOCHU emphasizes dialogue with its shareholders, investors,and other stakeholdersfrom the perspective  </w:t>
      </w:r>
      <w:r>
        <w:rPr>
          <w:sz w:val="20"/>
        </w:rPr>
        <w:t xml:space="preserve">achieving sustainable growth and enhancing corporate value over the medium to long term. After announcing </w:t>
      </w:r>
      <w:r>
        <w:rPr>
          <w:sz w:val="20"/>
        </w:rPr>
        <w:t xml:space="preserve">"Brand-new Deal 2020,” which failed to give due consideration to market expectations, the Company's share </w:t>
      </w:r>
      <w:r>
        <w:rPr>
          <w:sz w:val="20"/>
        </w:rPr>
        <w:t xml:space="preserve">price plunged. Learning from this experience, we now strive to reflect input obtained in investor meetings, </w:t>
      </w:r>
      <w:r>
        <w:rPr>
          <w:sz w:val="20"/>
        </w:rPr>
        <w:t xml:space="preserve">general meetings of shareholders, and one-on-one meetings into our management strategies and financial </w:t>
      </w:r>
      <w:r>
        <w:rPr>
          <w:sz w:val="20"/>
        </w:rPr>
        <w:t xml:space="preserve">and capital policies. Through commitment-based management, we are striving to expand corporate value </w:t>
      </w:r>
      <w:r>
        <w:rPr>
          <w:sz w:val="20"/>
        </w:rPr>
        <w:t xml:space="preserve">and sustain a positivecycle througheffective engagement. 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123092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7, 643, 1645, 1084]_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3092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03732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128, 1109, 1654, 1789]_0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3732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firstLine="360"/>
      </w:pPr>
      <w:r>
        <w:rPr>
          <w:sz w:val="20"/>
        </w:rPr>
        <w:t xml:space="preserve">· Buit a steady earnings base centered on the non-resource sector and practiced “commitment-based management," </w:t>
      </w:r>
      <w:r>
        <w:rPr>
          <w:sz w:val="20"/>
        </w:rPr>
        <w:t xml:space="preserve">Achievement of </w:t>
      </w:r>
      <w:r>
        <w:rPr>
          <w:sz w:val="20"/>
        </w:rPr>
        <w:t xml:space="preserve">hort-Term Targets </w:t>
      </w:r>
      <w:r>
        <w:rPr>
          <w:sz w:val="20"/>
        </w:rPr>
        <w:t xml:space="preserve">achieving initially planned results for four consecutive years </w:t>
      </w:r>
      <w:r>
        <w:rPr>
          <w:sz w:val="20"/>
        </w:rPr>
        <w:t xml:space="preserve">· Indicated quantitative targets in the FYE 2021 Management Plan (May 2020)  </w:t>
      </w:r>
      <w:r>
        <w:rPr>
          <w:sz w:val="20"/>
        </w:rPr>
        <w:t xml:space="preserve">· Announcement of the “Medium- to Long-Term Shareholder Returns Policy" (October 2018)  </w:t>
      </w:r>
      <w:r>
        <w:rPr>
          <w:sz w:val="20"/>
        </w:rPr>
        <w:t xml:space="preserve">teppingstonesto </w:t>
      </w:r>
      <w:r>
        <w:rPr>
          <w:sz w:val="20"/>
        </w:rPr>
        <w:t xml:space="preserve">· Presented management indices that consider the enhancement of corporate value (maintaining high ROE, sustainable </w:t>
      </w:r>
      <w:r>
        <w:rPr>
          <w:sz w:val="20"/>
        </w:rPr>
        <w:t xml:space="preserve">Medium- to Long- </w:t>
      </w:r>
      <w:r>
        <w:rPr>
          <w:sz w:val="20"/>
        </w:rPr>
        <w:t xml:space="preserve"> EPS growth, positive Core Free Cash Flows after deducting shareholder returns) </w:t>
      </w:r>
      <w:r>
        <w:rPr>
          <w:sz w:val="20"/>
        </w:rPr>
        <w:t xml:space="preserve">rm ValueCreation </w:t>
      </w:r>
      <w:r>
        <w:rPr>
          <w:sz w:val="20"/>
        </w:rPr>
        <w:t xml:space="preserve">· Held a briefing session regarding the reinvention of business (investors meeting for operating segments) (June 2019)  </w:t>
      </w:r>
      <w:r>
        <w:rPr>
          <w:sz w:val="20"/>
        </w:rPr>
        <w:t xml:space="preserve">· Clarified and explained our thoughts on the “reinvention of business" in the annual report and through IR activities </w:t>
      </w:r>
      <w:r>
        <w:rPr>
          <w:sz w:val="20"/>
        </w:rPr>
        <w:t xml:space="preserve">Initiatives and </w:t>
      </w:r>
      <w:r>
        <w:rPr>
          <w:sz w:val="20"/>
        </w:rPr>
        <w:t xml:space="preserve">· Announced ITOCHU's coal-related business policy (February 2019)  </w:t>
      </w:r>
      <w:r>
        <w:rPr>
          <w:sz w:val="20"/>
        </w:rPr>
        <w:t xml:space="preserve">stems Supporting </w:t>
      </w:r>
      <w:r>
        <w:rPr>
          <w:sz w:val="20"/>
        </w:rPr>
        <w:t xml:space="preserve">· After conducting a TCFD scenario analysis, announced our endorsement of the TCFD (May 2019)  </w:t>
      </w:r>
      <w:r>
        <w:rPr>
          <w:sz w:val="20"/>
        </w:rPr>
        <w:t xml:space="preserve">ustainable Growth </w:t>
      </w:r>
      <w:r>
        <w:rPr>
          <w:sz w:val="20"/>
        </w:rPr>
        <w:t xml:space="preserve">· Announced “ITOCHU's Policy on the Governance of its Listed Subsidiaries, etc." (October 2019)  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1006764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169, 1456, 1654, 1783]_0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067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842394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158, 1945, 1466, 2186]_0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4239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firstLine="360"/>
      </w:pPr>
      <w:r>
        <w:rPr>
          <w:sz w:val="20"/>
        </w:rPr>
        <w:t xml:space="preserve"> Specific results of collaboration with CITIC and CP Group </w:t>
      </w:r>
      <w:r>
        <w:rPr>
          <w:sz w:val="20"/>
        </w:rPr>
        <w:t xml:space="preserve"> Prompt execution of the share buybacks already announced, for 35 million shares or 70.0 bilion (both upper limits </w:t>
      </w:r>
      <w:r>
        <w:rPr>
          <w:sz w:val="20"/>
        </w:rPr>
        <w:t xml:space="preserve"> Explanation of specific deliberations by the Nominating Committee </w:t>
      </w:r>
    </w:p>
    <w:p>
      <w:pPr>
        <w:ind w:firstLine="360"/>
      </w:pPr>
      <w:r>
        <w:rPr>
          <w:sz w:val="20"/>
        </w:rPr>
        <w:t xml:space="preserve">· Specific results of collaboration with CITIC and CP Group </w:t>
      </w:r>
      <w:r>
        <w:rPr>
          <w:sz w:val="20"/>
        </w:rPr>
        <w:t xml:space="preserve"> Prompt execution of the share buybacks already announced, for 35 milion shares or ￥70.0 billion (both upper limits) </w:t>
      </w:r>
      <w:r>
        <w:rPr>
          <w:sz w:val="20"/>
        </w:rPr>
        <w:t xml:space="preserve"> Explanation of specific deliberations by the Nominating Committee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1"/>
          <w:docGrid w:linePitch="360"/>
        </w:sectPr>
      </w:pPr>
    </w:p>
    <w:p>
      <w:pPr>
        <w:ind w:firstLine="360"/>
      </w:pPr>
      <w:r>
        <w:rPr>
          <w:sz w:val="20"/>
        </w:rPr>
        <w:t xml:space="preserve">48 </w:t>
      </w:r>
    </w:p>
    <w:sectPr w:rsidR="00FC693F" w:rsidRPr="0006063C" w:rsidSect="00034616">
      <w:type w:val="continuous"/>
      <w:pgSz w:w="12240" w:h="15840"/>
      <w:pgMar w:top="1440" w:right="1800" w:bottom="1440" w:left="180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13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