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nievementofShort-Termlarget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COVID-19's Impact on the Company and Status of Initiatives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VID-19's Impact on the Company and Status of Initiatives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We explain CoviD-19's impact on our operating performance and management policies, as well as status </w:t>
      </w:r>
      <w:r>
        <w:rPr>
          <w:sz w:val="20"/>
        </w:rPr>
        <w:t xml:space="preserve">of initiatives.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Our initial plan of consolidated business performance fol </w:t>
      </w:r>
      <w:r>
        <w:rPr>
          <w:sz w:val="20"/>
        </w:rPr>
        <w:t xml:space="preserve">FYE 2021 called for consolidated net profit of ￥400.0 </w:t>
      </w:r>
      <w:r>
        <w:rPr>
          <w:sz w:val="20"/>
        </w:rPr>
        <w:t xml:space="preserve">billion. This incorporates a direct downward impact from </w:t>
      </w:r>
      <w:r>
        <w:rPr>
          <w:sz w:val="20"/>
        </w:rPr>
        <w:t xml:space="preserve">COVID-19 of roughly 10%, excluding such impacts as </w:t>
      </w:r>
      <w:r>
        <w:rPr>
          <w:sz w:val="20"/>
        </w:rPr>
        <w:t xml:space="preserve">falling resource prices. In addition, we set a higher-than- </w:t>
      </w:r>
      <w:r>
        <w:rPr>
          <w:sz w:val="20"/>
        </w:rPr>
        <w:t xml:space="preserve">usual loss buffer of ￥50.0 billion, an increase of ￥20.0 </w:t>
      </w:r>
      <w:r>
        <w:rPr>
          <w:sz w:val="20"/>
        </w:rPr>
        <w:t xml:space="preserve">billion from previous years. Our plan thus gave ample  </w:t>
      </w:r>
      <w:r>
        <w:rPr>
          <w:sz w:val="20"/>
        </w:rPr>
        <w:t xml:space="preserve">consideration to preparedness for uncertainty in the  </w:t>
      </w:r>
      <w:r>
        <w:rPr>
          <w:sz w:val="20"/>
        </w:rPr>
        <w:t xml:space="preserve">business environment. </w:t>
      </w:r>
      <w:r>
        <w:rPr>
          <w:sz w:val="20"/>
        </w:rPr>
        <w:t xml:space="preserve">Even before the worldwide spread of COVID-19, we </w:t>
      </w:r>
      <w:r>
        <w:rPr>
          <w:sz w:val="20"/>
        </w:rPr>
        <w:t xml:space="preserve">have been responding to rapid structural changes and </w:t>
      </w:r>
    </w:p>
    <w:p>
      <w:pPr>
        <w:ind w:firstLine="360"/>
      </w:pPr>
      <w:r>
        <w:rPr>
          <w:sz w:val="20"/>
        </w:rPr>
        <w:t xml:space="preserve">Even if some business activities are suspended due </w:t>
      </w:r>
      <w:r>
        <w:rPr>
          <w:sz w:val="20"/>
        </w:rPr>
        <w:t xml:space="preserve">to COvID-19, rather than responding with emergency </w:t>
      </w:r>
      <w:r>
        <w:rPr>
          <w:sz w:val="20"/>
        </w:rPr>
        <w:t xml:space="preserve">actions, we believe companies should maintain responsil </w:t>
      </w:r>
      <w:r>
        <w:rPr>
          <w:sz w:val="20"/>
        </w:rPr>
        <w:t xml:space="preserve">ESG management from a medium- to long-term </w:t>
      </w:r>
      <w:r>
        <w:rPr>
          <w:sz w:val="20"/>
        </w:rPr>
        <w:t xml:space="preserve">perspective. </w:t>
      </w:r>
      <w:r>
        <w:rPr>
          <w:sz w:val="20"/>
        </w:rPr>
        <w:t xml:space="preserve"> In addition to environment-related measures to date, </w:t>
      </w:r>
      <w:r>
        <w:rPr>
          <w:sz w:val="20"/>
        </w:rPr>
        <w:t xml:space="preserve">such as addressing climate change and marine plastic </w:t>
      </w:r>
      <w:r>
        <w:rPr>
          <w:sz w:val="20"/>
        </w:rPr>
        <w:t xml:space="preserve">pollution, the spread of COVID-19 provides an important </w:t>
      </w:r>
      <w:r>
        <w:rPr>
          <w:sz w:val="20"/>
        </w:rPr>
        <w:t xml:space="preserve">opportunity to renew society-related initiatives, including </w:t>
      </w:r>
      <w:r>
        <w:rPr>
          <w:sz w:val="20"/>
        </w:rPr>
        <w:t xml:space="preserve">the supply chain and human rights. In April 2020, we  </w:t>
      </w:r>
      <w:r>
        <w:rPr>
          <w:sz w:val="20"/>
        </w:rPr>
        <w:t xml:space="preserve">declared a new Group corporate mission of </w:t>
      </w:r>
    </w:p>
    <w:p>
      <w:pPr>
        <w:ind w:firstLine="360"/>
      </w:pPr>
      <w:r>
        <w:rPr>
          <w:sz w:val="20"/>
        </w:rPr>
        <w:t xml:space="preserve">digitalization in client industries, and have steadily </w:t>
      </w:r>
      <w:r>
        <w:rPr>
          <w:sz w:val="20"/>
        </w:rPr>
        <w:t xml:space="preserve">promoted initiatives to evolve and transform our existing] </w:t>
      </w:r>
      <w:r>
        <w:rPr>
          <w:sz w:val="20"/>
        </w:rPr>
        <w:t xml:space="preserve">business models. It is said that COVID-19 would rapidly </w:t>
      </w:r>
      <w:r>
        <w:rPr>
          <w:sz w:val="20"/>
        </w:rPr>
        <w:t xml:space="preserve">accelerate changes in purchasing methods and prefer- </w:t>
      </w:r>
      <w:r>
        <w:rPr>
          <w:sz w:val="20"/>
        </w:rPr>
        <w:t xml:space="preserve">ences, as well as the digital shift. That said, the basic  </w:t>
      </w:r>
      <w:r>
        <w:rPr>
          <w:sz w:val="20"/>
        </w:rPr>
        <w:t xml:space="preserve">business flow— procuring and delivering what customers </w:t>
      </w:r>
      <w:r>
        <w:rPr>
          <w:sz w:val="20"/>
        </w:rPr>
        <w:t xml:space="preserve">want—remains unchanged. Going forward, we will  </w:t>
      </w:r>
      <w:r>
        <w:rPr>
          <w:sz w:val="20"/>
        </w:rPr>
        <w:t xml:space="preserve">continue totakethesocial needs of individual countries </w:t>
      </w:r>
      <w:r>
        <w:rPr>
          <w:sz w:val="20"/>
        </w:rPr>
        <w:t xml:space="preserve">and regions into account as we pursue our business  </w:t>
      </w:r>
      <w:r>
        <w:rPr>
          <w:sz w:val="20"/>
        </w:rPr>
        <w:t xml:space="preserve">from a customer viewpoint through a market-oriented </w:t>
      </w:r>
      <w:r>
        <w:rPr>
          <w:sz w:val="20"/>
        </w:rPr>
        <w:t xml:space="preserve">perspective </w:t>
      </w:r>
    </w:p>
    <w:p>
      <w:pPr>
        <w:ind w:firstLine="360"/>
      </w:pPr>
      <w:r>
        <w:rPr>
          <w:sz w:val="20"/>
        </w:rPr>
        <w:t xml:space="preserve">"Sampo-yoshi," which is the philosophy we have upheld  </w:t>
      </w:r>
      <w:r>
        <w:rPr>
          <w:sz w:val="20"/>
        </w:rPr>
        <w:t xml:space="preserve">since the time of our founding. While ensuring that we </w:t>
      </w:r>
      <w:r>
        <w:rPr>
          <w:sz w:val="20"/>
        </w:rPr>
        <w:t xml:space="preserve">maintain and improve profitability, we will continue working </w:t>
      </w:r>
      <w:r>
        <w:rPr>
          <w:sz w:val="20"/>
        </w:rPr>
        <w:t xml:space="preserve">hard to resolve social issues by, for instance, providing a </w:t>
      </w:r>
      <w:r>
        <w:rPr>
          <w:sz w:val="20"/>
        </w:rPr>
        <w:t xml:space="preserve">wide range of products and services and creating new  </w:t>
      </w:r>
      <w:r>
        <w:rPr>
          <w:sz w:val="20"/>
        </w:rPr>
        <w:t xml:space="preserve">businesses. To this end, we recognize the importance of </w:t>
      </w:r>
      <w:r>
        <w:rPr>
          <w:sz w:val="20"/>
        </w:rPr>
        <w:t xml:space="preserve">remaining sensitive to changing social values and continu </w:t>
      </w:r>
      <w:r>
        <w:rPr>
          <w:sz w:val="20"/>
        </w:rPr>
        <w:t xml:space="preserve">ously undertaking proactive and consistent initiatives that </w:t>
      </w:r>
      <w:r>
        <w:rPr>
          <w:sz w:val="20"/>
        </w:rPr>
        <w:t xml:space="preserve">contribute toESG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What a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As the ITOCHU Group's strength lies in the consumer </w:t>
      </w:r>
      <w:r>
        <w:rPr>
          <w:sz w:val="20"/>
        </w:rPr>
        <w:t xml:space="preserve">sector, its businesses support the social infrastructure that </w:t>
      </w:r>
      <w:r>
        <w:rPr>
          <w:sz w:val="20"/>
        </w:rPr>
        <w:t xml:space="preserve">forms the foundation of everyday lives in many ways. </w:t>
      </w:r>
      <w:r>
        <w:rPr>
          <w:sz w:val="20"/>
        </w:rPr>
        <w:t xml:space="preserve">Accordingly, we are undertaking a host of initiatives to </w:t>
      </w:r>
      <w:r>
        <w:rPr>
          <w:sz w:val="20"/>
        </w:rPr>
        <w:t xml:space="preserve">sustain corporate activities even in an environment affectec </w:t>
      </w:r>
      <w:r>
        <w:rPr>
          <w:sz w:val="20"/>
        </w:rPr>
        <w:t xml:space="preserve">by COVID-19. </w:t>
      </w:r>
      <w:r>
        <w:rPr>
          <w:sz w:val="20"/>
        </w:rPr>
        <w:t xml:space="preserve"> For example, our subsidiary, HOKEN NO MADOGUCHI </w:t>
      </w:r>
      <w:r>
        <w:rPr>
          <w:sz w:val="20"/>
        </w:rPr>
        <w:t xml:space="preserve">GROUP INC., which is one of Japan's largest insurance </w:t>
      </w:r>
      <w:r>
        <w:rPr>
          <w:sz w:val="20"/>
        </w:rPr>
        <w:t xml:space="preserve">agencies with walk-in stores, has promptly established </w:t>
      </w:r>
      <w:r>
        <w:rPr>
          <w:sz w:val="20"/>
        </w:rPr>
        <w:t xml:space="preserve">a nationwide system to provide insurance consultations  </w:t>
      </w:r>
      <w:r>
        <w:rPr>
          <w:sz w:val="20"/>
        </w:rPr>
        <w:t xml:space="preserve">online, leveraging the ITOCHU Group resources, in order </w:t>
      </w:r>
      <w:r>
        <w:rPr>
          <w:sz w:val="20"/>
        </w:rPr>
        <w:t xml:space="preserve">to respond to customer concerns about conducting insur- </w:t>
      </w:r>
      <w:r>
        <w:rPr>
          <w:sz w:val="20"/>
        </w:rPr>
        <w:t xml:space="preserve">ance consultations face-to-face. This system went on line </w:t>
      </w:r>
      <w:r>
        <w:rPr>
          <w:sz w:val="20"/>
        </w:rPr>
        <w:t xml:space="preserve">in July 2020. Another example can be found at an affliatec </w:t>
      </w:r>
      <w:r>
        <w:rPr>
          <w:sz w:val="20"/>
        </w:rPr>
        <w:t xml:space="preserve">company, WingArc1st Inc., which provides software and </w:t>
      </w:r>
    </w:p>
    <w:p>
      <w:pPr>
        <w:ind w:firstLine="360"/>
      </w:pPr>
      <w:r>
        <w:rPr>
          <w:sz w:val="20"/>
        </w:rPr>
        <w:t xml:space="preserve">56 </w:t>
      </w:r>
    </w:p>
    <w:p>
      <w:pPr>
        <w:ind w:firstLine="360"/>
      </w:pPr>
      <w:r>
        <w:rPr>
          <w:sz w:val="20"/>
        </w:rPr>
        <w:t xml:space="preserve">services that help leverage corporate data. Amid the rapid </w:t>
      </w:r>
      <w:r>
        <w:rPr>
          <w:sz w:val="20"/>
        </w:rPr>
        <w:t xml:space="preserve">shift to working from home, this company energetically </w:t>
      </w:r>
      <w:r>
        <w:rPr>
          <w:sz w:val="20"/>
        </w:rPr>
        <w:t xml:space="preserve">deployed a web-based invoice distribution service both </w:t>
      </w:r>
      <w:r>
        <w:rPr>
          <w:sz w:val="20"/>
        </w:rPr>
        <w:t xml:space="preserve">within and outside the ITOCHU Group. This move  </w:t>
      </w:r>
      <w:r>
        <w:rPr>
          <w:sz w:val="20"/>
        </w:rPr>
        <w:t xml:space="preserve">addressed the issue of preparation and shipping of invoice </w:t>
      </w:r>
      <w:r>
        <w:rPr>
          <w:sz w:val="20"/>
        </w:rPr>
        <w:t xml:space="preserve">which had presented a barrier to working from home. </w:t>
      </w:r>
      <w:r>
        <w:rPr>
          <w:sz w:val="20"/>
        </w:rPr>
        <w:t xml:space="preserve">Through this service, WingArc1st Inc. helps to prevent </w:t>
      </w:r>
      <w:r>
        <w:rPr>
          <w:sz w:val="20"/>
        </w:rPr>
        <w:t xml:space="preserve">infection risk at companies adopting the system and aided </w:t>
      </w:r>
      <w:r>
        <w:rPr>
          <w:sz w:val="20"/>
        </w:rPr>
        <w:t xml:space="preserve">the shift in workstyles in an environment affected by </w:t>
      </w:r>
      <w:r>
        <w:rPr>
          <w:sz w:val="20"/>
        </w:rPr>
        <w:t xml:space="preserve">COVID-19. </w:t>
      </w:r>
      <w:r>
        <w:rPr>
          <w:sz w:val="20"/>
        </w:rPr>
        <w:t xml:space="preserve"> Through these improvements on the front lines of  </w:t>
      </w:r>
      <w:r>
        <w:rPr>
          <w:sz w:val="20"/>
        </w:rPr>
        <w:t xml:space="preserve">business and the steadily accumulated effect of small initia </w:t>
      </w:r>
      <w:r>
        <w:rPr>
          <w:sz w:val="20"/>
        </w:rPr>
        <w:t xml:space="preserve">tives, the ITOCHU Group demonstrates its highly distinctive </w:t>
      </w:r>
      <w:r>
        <w:rPr>
          <w:sz w:val="20"/>
        </w:rPr>
        <w:t xml:space="preserve">characteristics in business contributing to customers and </w:t>
      </w:r>
      <w:r>
        <w:rPr>
          <w:sz w:val="20"/>
        </w:rPr>
        <w:t xml:space="preserve">societyatlarge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